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8" w:type="dxa"/>
        <w:shd w:val="clear" w:color="auto" w:fill="800000"/>
        <w:tblLook w:val="01E0" w:firstRow="1" w:lastRow="1" w:firstColumn="1" w:lastColumn="1" w:noHBand="0" w:noVBand="0"/>
      </w:tblPr>
      <w:tblGrid>
        <w:gridCol w:w="9598"/>
      </w:tblGrid>
      <w:tr w:rsidR="00B764A6" w:rsidRPr="005F1178" w:rsidTr="00B764A6">
        <w:trPr>
          <w:trHeight w:val="1803"/>
        </w:trPr>
        <w:tc>
          <w:tcPr>
            <w:tcW w:w="9598" w:type="dxa"/>
            <w:shd w:val="clear" w:color="auto" w:fill="800000"/>
          </w:tcPr>
          <w:p w:rsidR="00B764A6" w:rsidRPr="00646176" w:rsidRDefault="00B764A6" w:rsidP="003B292E">
            <w:pPr>
              <w:rPr>
                <w:rFonts w:ascii="Arial" w:hAnsi="Arial" w:cs="Arial"/>
                <w:b/>
              </w:rPr>
            </w:pPr>
          </w:p>
          <w:p w:rsidR="00B764A6" w:rsidRPr="005F1178" w:rsidRDefault="00B764A6" w:rsidP="00B764A6">
            <w:pPr>
              <w:spacing w:after="0" w:line="240" w:lineRule="auto"/>
              <w:rPr>
                <w:rFonts w:ascii="Arial" w:hAnsi="Arial" w:cs="Arial"/>
                <w:b/>
                <w:sz w:val="20"/>
                <w:szCs w:val="20"/>
              </w:rPr>
            </w:pPr>
            <w:r w:rsidRPr="005F1178">
              <w:rPr>
                <w:rFonts w:ascii="Arial" w:hAnsi="Arial" w:cs="Arial"/>
                <w:b/>
                <w:sz w:val="20"/>
                <w:szCs w:val="20"/>
              </w:rPr>
              <w:t xml:space="preserve">Обзор </w:t>
            </w:r>
            <w:r w:rsidRPr="005F1178">
              <w:rPr>
                <w:rFonts w:ascii="Arial" w:hAnsi="Arial" w:cs="Arial"/>
                <w:sz w:val="20"/>
                <w:szCs w:val="20"/>
              </w:rPr>
              <w:t>«Кредитование малого и среднего бизнеса в России</w:t>
            </w:r>
            <w:r w:rsidR="003631A5">
              <w:rPr>
                <w:rFonts w:ascii="Arial" w:hAnsi="Arial" w:cs="Arial"/>
                <w:sz w:val="20"/>
                <w:szCs w:val="20"/>
              </w:rPr>
              <w:t xml:space="preserve">: </w:t>
            </w:r>
            <w:bookmarkStart w:id="0" w:name="_GoBack"/>
            <w:r w:rsidR="003631A5">
              <w:rPr>
                <w:rFonts w:ascii="Arial" w:hAnsi="Arial" w:cs="Arial"/>
                <w:sz w:val="20"/>
                <w:szCs w:val="20"/>
              </w:rPr>
              <w:t>тотальный банкинг</w:t>
            </w:r>
            <w:bookmarkEnd w:id="0"/>
            <w:r w:rsidRPr="005F1178">
              <w:rPr>
                <w:rFonts w:ascii="Arial" w:hAnsi="Arial" w:cs="Arial"/>
                <w:sz w:val="20"/>
                <w:szCs w:val="20"/>
              </w:rPr>
              <w:t>»</w:t>
            </w:r>
            <w:r w:rsidRPr="005F1178">
              <w:rPr>
                <w:rFonts w:ascii="Arial" w:hAnsi="Arial" w:cs="Arial"/>
                <w:b/>
                <w:sz w:val="20"/>
                <w:szCs w:val="20"/>
              </w:rPr>
              <w:t xml:space="preserve"> подготовили: </w:t>
            </w:r>
          </w:p>
          <w:p w:rsidR="00007A26" w:rsidRPr="005F1178" w:rsidRDefault="00007A26" w:rsidP="00B764A6">
            <w:pPr>
              <w:spacing w:after="0" w:line="240" w:lineRule="auto"/>
              <w:rPr>
                <w:rFonts w:ascii="Arial" w:hAnsi="Arial" w:cs="Arial"/>
                <w:sz w:val="20"/>
                <w:szCs w:val="20"/>
              </w:rPr>
            </w:pPr>
          </w:p>
          <w:p w:rsidR="00B764A6" w:rsidRPr="005F1178" w:rsidRDefault="00B764A6" w:rsidP="00B764A6">
            <w:pPr>
              <w:spacing w:after="0" w:line="240" w:lineRule="auto"/>
              <w:rPr>
                <w:rFonts w:ascii="Arial" w:hAnsi="Arial" w:cs="Arial"/>
                <w:sz w:val="20"/>
                <w:szCs w:val="20"/>
              </w:rPr>
            </w:pPr>
            <w:r w:rsidRPr="005F1178">
              <w:rPr>
                <w:rFonts w:ascii="Arial" w:hAnsi="Arial" w:cs="Arial"/>
                <w:sz w:val="20"/>
                <w:szCs w:val="20"/>
              </w:rPr>
              <w:t>Антон Картуесов,</w:t>
            </w:r>
          </w:p>
          <w:p w:rsidR="00B764A6" w:rsidRPr="005F1178" w:rsidRDefault="00867037" w:rsidP="00B764A6">
            <w:pPr>
              <w:spacing w:after="0" w:line="240" w:lineRule="auto"/>
              <w:rPr>
                <w:rFonts w:ascii="Arial" w:hAnsi="Arial" w:cs="Arial"/>
                <w:sz w:val="20"/>
                <w:szCs w:val="20"/>
              </w:rPr>
            </w:pPr>
            <w:r>
              <w:rPr>
                <w:rFonts w:ascii="Arial" w:hAnsi="Arial" w:cs="Arial"/>
                <w:sz w:val="20"/>
                <w:szCs w:val="20"/>
              </w:rPr>
              <w:t>з</w:t>
            </w:r>
            <w:r w:rsidR="00B764A6" w:rsidRPr="005F1178">
              <w:rPr>
                <w:rFonts w:ascii="Arial" w:hAnsi="Arial" w:cs="Arial"/>
                <w:sz w:val="20"/>
                <w:szCs w:val="20"/>
              </w:rPr>
              <w:t>аместитель руководителя отдела рейтингов кредитных институтов</w:t>
            </w:r>
          </w:p>
          <w:p w:rsidR="00007A26" w:rsidRPr="005F1178" w:rsidRDefault="00007A26" w:rsidP="00B764A6">
            <w:pPr>
              <w:spacing w:after="0" w:line="240" w:lineRule="auto"/>
              <w:rPr>
                <w:rFonts w:ascii="Arial" w:hAnsi="Arial" w:cs="Arial"/>
                <w:sz w:val="20"/>
                <w:szCs w:val="20"/>
              </w:rPr>
            </w:pPr>
          </w:p>
          <w:p w:rsidR="00B764A6" w:rsidRPr="005F1178" w:rsidRDefault="00B764A6" w:rsidP="00B764A6">
            <w:pPr>
              <w:spacing w:after="0" w:line="240" w:lineRule="auto"/>
              <w:rPr>
                <w:rFonts w:ascii="Arial" w:hAnsi="Arial" w:cs="Arial"/>
                <w:sz w:val="20"/>
                <w:szCs w:val="20"/>
              </w:rPr>
            </w:pPr>
            <w:r w:rsidRPr="005F1178">
              <w:rPr>
                <w:rFonts w:ascii="Arial" w:hAnsi="Arial" w:cs="Arial"/>
                <w:sz w:val="20"/>
                <w:szCs w:val="20"/>
              </w:rPr>
              <w:t xml:space="preserve">Сараев Александр, </w:t>
            </w:r>
          </w:p>
          <w:p w:rsidR="00B764A6" w:rsidRPr="005F1178" w:rsidRDefault="00DE0508" w:rsidP="00B764A6">
            <w:pPr>
              <w:spacing w:after="0" w:line="240" w:lineRule="auto"/>
              <w:rPr>
                <w:rFonts w:ascii="Arial" w:hAnsi="Arial" w:cs="Arial"/>
                <w:sz w:val="20"/>
                <w:szCs w:val="20"/>
              </w:rPr>
            </w:pPr>
            <w:r>
              <w:rPr>
                <w:rFonts w:ascii="Arial" w:hAnsi="Arial" w:cs="Arial"/>
                <w:sz w:val="20"/>
                <w:szCs w:val="20"/>
              </w:rPr>
              <w:t>э</w:t>
            </w:r>
            <w:r w:rsidR="00B764A6" w:rsidRPr="005F1178">
              <w:rPr>
                <w:rFonts w:ascii="Arial" w:hAnsi="Arial" w:cs="Arial"/>
                <w:sz w:val="20"/>
                <w:szCs w:val="20"/>
              </w:rPr>
              <w:t>ксперт отдела рейтингов кредитных институтов</w:t>
            </w:r>
          </w:p>
          <w:p w:rsidR="00007A26" w:rsidRPr="005F1178" w:rsidRDefault="00007A26" w:rsidP="00B764A6">
            <w:pPr>
              <w:spacing w:after="0" w:line="240" w:lineRule="auto"/>
              <w:rPr>
                <w:rFonts w:ascii="Arial" w:hAnsi="Arial" w:cs="Arial"/>
                <w:color w:val="FFFFFF"/>
                <w:sz w:val="20"/>
                <w:szCs w:val="20"/>
              </w:rPr>
            </w:pPr>
          </w:p>
          <w:p w:rsidR="00B764A6" w:rsidRPr="005F1178" w:rsidRDefault="00B764A6" w:rsidP="00B764A6">
            <w:pPr>
              <w:spacing w:after="0" w:line="240" w:lineRule="auto"/>
              <w:rPr>
                <w:rFonts w:ascii="Arial" w:hAnsi="Arial" w:cs="Arial"/>
                <w:color w:val="FFFFFF"/>
                <w:sz w:val="20"/>
                <w:szCs w:val="20"/>
              </w:rPr>
            </w:pPr>
            <w:r w:rsidRPr="005F1178">
              <w:rPr>
                <w:rFonts w:ascii="Arial" w:hAnsi="Arial" w:cs="Arial"/>
                <w:color w:val="FFFFFF"/>
                <w:sz w:val="20"/>
                <w:szCs w:val="20"/>
              </w:rPr>
              <w:t>Михаил Доронкин,</w:t>
            </w:r>
          </w:p>
          <w:p w:rsidR="00B764A6" w:rsidRPr="005F1178" w:rsidRDefault="00B764A6" w:rsidP="00B764A6">
            <w:pPr>
              <w:spacing w:after="0" w:line="240" w:lineRule="auto"/>
              <w:rPr>
                <w:rFonts w:ascii="Arial" w:hAnsi="Arial" w:cs="Arial"/>
                <w:sz w:val="20"/>
                <w:szCs w:val="20"/>
              </w:rPr>
            </w:pPr>
            <w:r w:rsidRPr="005F1178">
              <w:rPr>
                <w:rFonts w:ascii="Arial" w:hAnsi="Arial" w:cs="Arial"/>
                <w:sz w:val="20"/>
                <w:szCs w:val="20"/>
              </w:rPr>
              <w:t>заместитель руководителя отдела рейтингов кредитных институтов</w:t>
            </w:r>
          </w:p>
          <w:p w:rsidR="00007A26" w:rsidRPr="005F1178" w:rsidRDefault="00007A26" w:rsidP="00B764A6">
            <w:pPr>
              <w:spacing w:after="0" w:line="240" w:lineRule="auto"/>
              <w:rPr>
                <w:rFonts w:ascii="Arial" w:hAnsi="Arial" w:cs="Arial"/>
                <w:sz w:val="20"/>
                <w:szCs w:val="20"/>
              </w:rPr>
            </w:pPr>
          </w:p>
          <w:p w:rsidR="00B764A6" w:rsidRPr="005F1178" w:rsidRDefault="00B764A6" w:rsidP="00B764A6">
            <w:pPr>
              <w:spacing w:after="0" w:line="240" w:lineRule="auto"/>
              <w:rPr>
                <w:rFonts w:ascii="Arial" w:hAnsi="Arial" w:cs="Arial"/>
                <w:sz w:val="20"/>
                <w:szCs w:val="20"/>
              </w:rPr>
            </w:pPr>
            <w:r w:rsidRPr="005F1178">
              <w:rPr>
                <w:rFonts w:ascii="Arial" w:hAnsi="Arial" w:cs="Arial"/>
                <w:sz w:val="20"/>
                <w:szCs w:val="20"/>
              </w:rPr>
              <w:t>Станислав Волков,</w:t>
            </w:r>
          </w:p>
          <w:p w:rsidR="00B764A6" w:rsidRPr="005F1178" w:rsidRDefault="00B764A6" w:rsidP="00B764A6">
            <w:pPr>
              <w:spacing w:after="0" w:line="240" w:lineRule="auto"/>
              <w:rPr>
                <w:rFonts w:ascii="Arial" w:hAnsi="Arial" w:cs="Arial"/>
                <w:color w:val="FFFFFF"/>
                <w:sz w:val="20"/>
                <w:szCs w:val="20"/>
                <w:u w:val="single"/>
              </w:rPr>
            </w:pPr>
            <w:r w:rsidRPr="005F1178">
              <w:rPr>
                <w:rFonts w:ascii="Arial" w:hAnsi="Arial" w:cs="Arial"/>
                <w:sz w:val="20"/>
                <w:szCs w:val="20"/>
              </w:rPr>
              <w:t>руководитель отдела рейтингов кредитных институтов</w:t>
            </w:r>
            <w:r w:rsidRPr="005F1178">
              <w:rPr>
                <w:rFonts w:ascii="Arial" w:hAnsi="Arial" w:cs="Arial"/>
                <w:color w:val="FFFFFF"/>
                <w:sz w:val="20"/>
                <w:szCs w:val="20"/>
                <w:u w:val="single"/>
              </w:rPr>
              <w:t xml:space="preserve"> </w:t>
            </w:r>
          </w:p>
          <w:p w:rsidR="00B764A6" w:rsidRPr="005F1178" w:rsidRDefault="00B764A6" w:rsidP="003B292E">
            <w:pPr>
              <w:rPr>
                <w:rFonts w:ascii="Arial" w:hAnsi="Arial" w:cs="Arial"/>
                <w:sz w:val="20"/>
                <w:szCs w:val="20"/>
              </w:rPr>
            </w:pPr>
            <w:r w:rsidRPr="005F1178">
              <w:rPr>
                <w:rFonts w:ascii="Arial" w:hAnsi="Arial" w:cs="Arial"/>
                <w:sz w:val="20"/>
                <w:szCs w:val="20"/>
              </w:rPr>
              <w:t>------------------------------------------------------------------------------------------------------------------------------</w:t>
            </w:r>
          </w:p>
          <w:p w:rsidR="00B764A6" w:rsidRPr="005F1178" w:rsidRDefault="00B764A6" w:rsidP="003B292E">
            <w:pPr>
              <w:rPr>
                <w:rFonts w:ascii="Arial" w:hAnsi="Arial" w:cs="Arial"/>
                <w:sz w:val="20"/>
                <w:szCs w:val="20"/>
              </w:rPr>
            </w:pPr>
            <w:r w:rsidRPr="005F1178">
              <w:rPr>
                <w:rFonts w:ascii="Arial" w:hAnsi="Arial" w:cs="Arial"/>
                <w:sz w:val="20"/>
                <w:szCs w:val="20"/>
              </w:rPr>
              <w:t xml:space="preserve">Павел Самиев, </w:t>
            </w:r>
          </w:p>
          <w:p w:rsidR="00B764A6" w:rsidRPr="005F1178" w:rsidRDefault="00B764A6" w:rsidP="003B292E">
            <w:pPr>
              <w:rPr>
                <w:rFonts w:ascii="Arial" w:hAnsi="Arial" w:cs="Arial"/>
                <w:sz w:val="20"/>
                <w:szCs w:val="20"/>
              </w:rPr>
            </w:pPr>
            <w:r w:rsidRPr="005F1178">
              <w:rPr>
                <w:rFonts w:ascii="Arial" w:hAnsi="Arial" w:cs="Arial"/>
                <w:sz w:val="20"/>
                <w:szCs w:val="20"/>
              </w:rPr>
              <w:t>заместитель генерального директора</w:t>
            </w:r>
          </w:p>
          <w:p w:rsidR="00B764A6" w:rsidRPr="005F1178" w:rsidRDefault="00B764A6" w:rsidP="003B292E">
            <w:pPr>
              <w:rPr>
                <w:rFonts w:ascii="Arial" w:hAnsi="Arial" w:cs="Arial"/>
                <w:sz w:val="20"/>
                <w:szCs w:val="20"/>
              </w:rPr>
            </w:pPr>
          </w:p>
        </w:tc>
      </w:tr>
    </w:tbl>
    <w:p w:rsidR="00B764A6" w:rsidRPr="005F1178" w:rsidRDefault="00B764A6" w:rsidP="00B764A6">
      <w:pPr>
        <w:jc w:val="right"/>
        <w:rPr>
          <w:rFonts w:ascii="Arial" w:hAnsi="Arial" w:cs="Arial"/>
        </w:rPr>
      </w:pPr>
    </w:p>
    <w:p w:rsidR="00B764A6" w:rsidRPr="005F1178" w:rsidRDefault="00B764A6" w:rsidP="00B764A6"/>
    <w:p w:rsidR="00B764A6" w:rsidRDefault="00B764A6"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DE0508" w:rsidRDefault="00DE0508" w:rsidP="00B764A6"/>
    <w:p w:rsidR="00B764A6" w:rsidRPr="005F1178" w:rsidRDefault="00B764A6" w:rsidP="00B764A6">
      <w:pPr>
        <w:rPr>
          <w:rFonts w:ascii="Arial" w:hAnsi="Arial" w:cs="Arial"/>
          <w:b/>
          <w:sz w:val="28"/>
          <w:szCs w:val="28"/>
        </w:rPr>
      </w:pPr>
      <w:r w:rsidRPr="005F1178">
        <w:rPr>
          <w:rFonts w:ascii="Arial" w:hAnsi="Arial" w:cs="Arial"/>
          <w:b/>
          <w:sz w:val="28"/>
          <w:szCs w:val="28"/>
        </w:rPr>
        <w:lastRenderedPageBreak/>
        <w:t>АНОНСЫ</w:t>
      </w:r>
    </w:p>
    <w:p w:rsidR="00A41262" w:rsidRPr="005F1178" w:rsidRDefault="00A41262" w:rsidP="00143F8B">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Портфель кредитов МСБ вырос в 2012 году на 17%</w:t>
      </w:r>
      <w:r w:rsidR="00477408">
        <w:rPr>
          <w:rFonts w:ascii="Times New Roman" w:hAnsi="Times New Roman"/>
          <w:sz w:val="24"/>
          <w:szCs w:val="24"/>
          <w:lang w:eastAsia="ru-RU"/>
        </w:rPr>
        <w:t>,</w:t>
      </w:r>
      <w:r w:rsidRPr="005F1178">
        <w:rPr>
          <w:rFonts w:ascii="Times New Roman" w:hAnsi="Times New Roman"/>
          <w:sz w:val="24"/>
          <w:szCs w:val="24"/>
          <w:lang w:eastAsia="ru-RU"/>
        </w:rPr>
        <w:t xml:space="preserve"> до 4,5 </w:t>
      </w:r>
      <w:proofErr w:type="gramStart"/>
      <w:r w:rsidRPr="005F1178">
        <w:rPr>
          <w:rFonts w:ascii="Times New Roman" w:hAnsi="Times New Roman"/>
          <w:sz w:val="24"/>
          <w:szCs w:val="24"/>
          <w:lang w:eastAsia="ru-RU"/>
        </w:rPr>
        <w:t>трлн</w:t>
      </w:r>
      <w:proofErr w:type="gramEnd"/>
      <w:r w:rsidRPr="005F1178">
        <w:rPr>
          <w:rFonts w:ascii="Times New Roman" w:hAnsi="Times New Roman"/>
          <w:sz w:val="24"/>
          <w:szCs w:val="24"/>
          <w:lang w:eastAsia="ru-RU"/>
        </w:rPr>
        <w:t xml:space="preserve"> руб</w:t>
      </w:r>
      <w:r w:rsidR="00477408">
        <w:rPr>
          <w:rFonts w:ascii="Times New Roman" w:hAnsi="Times New Roman"/>
          <w:sz w:val="24"/>
          <w:szCs w:val="24"/>
          <w:lang w:eastAsia="ru-RU"/>
        </w:rPr>
        <w:t>лей</w:t>
      </w:r>
      <w:r w:rsidRPr="005F1178">
        <w:rPr>
          <w:rFonts w:ascii="Times New Roman" w:hAnsi="Times New Roman"/>
          <w:sz w:val="24"/>
          <w:szCs w:val="24"/>
          <w:lang w:eastAsia="ru-RU"/>
        </w:rPr>
        <w:t xml:space="preserve"> против 19 и 22% в 2012-м и 2011-м соответственно. ….</w:t>
      </w:r>
    </w:p>
    <w:p w:rsidR="00A41262" w:rsidRPr="005F1178" w:rsidRDefault="00A41262" w:rsidP="00143F8B">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Охладил рынок кредитования МСБ и очередной виток роста непрозрачности малого бизнеса….</w:t>
      </w:r>
    </w:p>
    <w:p w:rsidR="00A41262" w:rsidRPr="005F1178" w:rsidRDefault="00A41262" w:rsidP="00143F8B">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 xml:space="preserve">На этом фоне заметно возросла активность банков в развитии так называемых кредитных фабрик (коротких </w:t>
      </w:r>
      <w:proofErr w:type="spellStart"/>
      <w:r w:rsidRPr="005F1178">
        <w:rPr>
          <w:rFonts w:ascii="Times New Roman" w:hAnsi="Times New Roman"/>
          <w:sz w:val="24"/>
          <w:szCs w:val="24"/>
          <w:lang w:eastAsia="ru-RU"/>
        </w:rPr>
        <w:t>микрокредитов</w:t>
      </w:r>
      <w:proofErr w:type="spellEnd"/>
      <w:r w:rsidRPr="005F1178">
        <w:rPr>
          <w:rFonts w:ascii="Times New Roman" w:hAnsi="Times New Roman"/>
          <w:sz w:val="24"/>
          <w:szCs w:val="24"/>
          <w:lang w:eastAsia="ru-RU"/>
        </w:rPr>
        <w:t xml:space="preserve"> малому бизнесу)….</w:t>
      </w:r>
    </w:p>
    <w:p w:rsidR="00A41262" w:rsidRPr="005F1178" w:rsidRDefault="00A41262" w:rsidP="006C6338">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Подстегнуть рост доходов, получаемых от МСБ, крупные банки пытаются за счет активного внедрения обслуживания МСБ по комплексным тарифам, включающ</w:t>
      </w:r>
      <w:r w:rsidR="00477408">
        <w:rPr>
          <w:rFonts w:ascii="Times New Roman" w:hAnsi="Times New Roman"/>
          <w:sz w:val="24"/>
          <w:szCs w:val="24"/>
          <w:lang w:eastAsia="ru-RU"/>
        </w:rPr>
        <w:t>им</w:t>
      </w:r>
      <w:r w:rsidRPr="005F1178">
        <w:rPr>
          <w:rFonts w:ascii="Times New Roman" w:hAnsi="Times New Roman"/>
          <w:sz w:val="24"/>
          <w:szCs w:val="24"/>
          <w:lang w:eastAsia="ru-RU"/>
        </w:rPr>
        <w:t xml:space="preserve"> в себя не только кредитование, но и депозитное обслуживание, ВЭД, бизнес-консалтинг……</w:t>
      </w:r>
    </w:p>
    <w:p w:rsidR="00A41262" w:rsidRPr="005F1178" w:rsidRDefault="00A41262" w:rsidP="006C6338">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Доля топ-30 по активам банков на рынке МСБ выросла за 2012 год на 0,6 п.</w:t>
      </w:r>
      <w:r w:rsidR="00CC7E85">
        <w:rPr>
          <w:rFonts w:ascii="Times New Roman" w:hAnsi="Times New Roman"/>
          <w:sz w:val="24"/>
          <w:szCs w:val="24"/>
          <w:lang w:eastAsia="ru-RU"/>
        </w:rPr>
        <w:t xml:space="preserve"> </w:t>
      </w:r>
      <w:r w:rsidRPr="005F1178">
        <w:rPr>
          <w:rFonts w:ascii="Times New Roman" w:hAnsi="Times New Roman"/>
          <w:sz w:val="24"/>
          <w:szCs w:val="24"/>
          <w:lang w:eastAsia="ru-RU"/>
        </w:rPr>
        <w:t>п.</w:t>
      </w:r>
      <w:r w:rsidR="00CC7E85">
        <w:rPr>
          <w:rFonts w:ascii="Times New Roman" w:hAnsi="Times New Roman"/>
          <w:sz w:val="24"/>
          <w:szCs w:val="24"/>
          <w:lang w:eastAsia="ru-RU"/>
        </w:rPr>
        <w:t>,</w:t>
      </w:r>
      <w:r w:rsidRPr="005F1178">
        <w:rPr>
          <w:rFonts w:ascii="Times New Roman" w:hAnsi="Times New Roman"/>
          <w:sz w:val="24"/>
          <w:szCs w:val="24"/>
          <w:lang w:eastAsia="ru-RU"/>
        </w:rPr>
        <w:t xml:space="preserve"> до уровня в 60,8%.....</w:t>
      </w:r>
    </w:p>
    <w:p w:rsidR="00A41262" w:rsidRPr="005F1178" w:rsidRDefault="00A41262" w:rsidP="006C6338">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Многие крупные банки, как показал опрос, проведенный «Эксперт</w:t>
      </w:r>
      <w:r w:rsidR="00CC7E85">
        <w:rPr>
          <w:rFonts w:ascii="Times New Roman" w:hAnsi="Times New Roman"/>
          <w:sz w:val="24"/>
          <w:szCs w:val="24"/>
          <w:lang w:eastAsia="ru-RU"/>
        </w:rPr>
        <w:t>ом</w:t>
      </w:r>
      <w:r w:rsidRPr="005F1178">
        <w:rPr>
          <w:rFonts w:ascii="Times New Roman" w:hAnsi="Times New Roman"/>
          <w:sz w:val="24"/>
          <w:szCs w:val="24"/>
          <w:lang w:eastAsia="ru-RU"/>
        </w:rPr>
        <w:t xml:space="preserve"> РА», сместили акценты своих рекламных кампаний на продвижение преимуществ покупки субъектом МСБ сразу целого пакета услуг…..</w:t>
      </w:r>
    </w:p>
    <w:p w:rsidR="00A41262" w:rsidRPr="005F1178" w:rsidRDefault="00A41262" w:rsidP="006C6338">
      <w:pPr>
        <w:spacing w:after="120" w:line="240" w:lineRule="auto"/>
        <w:rPr>
          <w:rFonts w:ascii="Times New Roman" w:hAnsi="Times New Roman"/>
          <w:sz w:val="24"/>
          <w:szCs w:val="24"/>
          <w:lang w:eastAsia="ru-RU"/>
        </w:rPr>
      </w:pPr>
      <w:r w:rsidRPr="005F1178">
        <w:rPr>
          <w:rFonts w:ascii="Times New Roman" w:hAnsi="Times New Roman"/>
          <w:sz w:val="24"/>
          <w:szCs w:val="24"/>
          <w:lang w:eastAsia="ru-RU"/>
        </w:rPr>
        <w:t>Современный банк должен стать финансовой службой «одного окна» для МСБ……</w:t>
      </w:r>
    </w:p>
    <w:p w:rsidR="00A41262" w:rsidRPr="005F1178" w:rsidRDefault="00A41262"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 xml:space="preserve">Четвертый </w:t>
      </w:r>
      <w:r w:rsidR="00CC7E85">
        <w:rPr>
          <w:rFonts w:ascii="Times New Roman" w:hAnsi="Times New Roman"/>
          <w:sz w:val="24"/>
          <w:szCs w:val="24"/>
          <w:lang w:eastAsia="ru-RU"/>
        </w:rPr>
        <w:t>(</w:t>
      </w:r>
      <w:r w:rsidRPr="005F1178">
        <w:rPr>
          <w:rFonts w:ascii="Times New Roman" w:hAnsi="Times New Roman"/>
          <w:sz w:val="24"/>
          <w:szCs w:val="24"/>
          <w:lang w:eastAsia="ru-RU"/>
        </w:rPr>
        <w:t>самый высокий</w:t>
      </w:r>
      <w:r w:rsidR="00CC7E85">
        <w:rPr>
          <w:rFonts w:ascii="Times New Roman" w:hAnsi="Times New Roman"/>
          <w:sz w:val="24"/>
          <w:szCs w:val="24"/>
          <w:lang w:eastAsia="ru-RU"/>
        </w:rPr>
        <w:t>)</w:t>
      </w:r>
      <w:r w:rsidRPr="005F1178">
        <w:rPr>
          <w:rFonts w:ascii="Times New Roman" w:hAnsi="Times New Roman"/>
          <w:sz w:val="24"/>
          <w:szCs w:val="24"/>
          <w:lang w:eastAsia="ru-RU"/>
        </w:rPr>
        <w:t xml:space="preserve"> для Банка уровень – роль медиатора </w:t>
      </w:r>
      <w:proofErr w:type="gramStart"/>
      <w:r w:rsidRPr="005F1178">
        <w:rPr>
          <w:rFonts w:ascii="Times New Roman" w:hAnsi="Times New Roman"/>
          <w:sz w:val="24"/>
          <w:szCs w:val="24"/>
          <w:lang w:eastAsia="ru-RU"/>
        </w:rPr>
        <w:t>бизнес-среды</w:t>
      </w:r>
      <w:proofErr w:type="gramEnd"/>
      <w:r w:rsidRPr="005F1178">
        <w:rPr>
          <w:rFonts w:ascii="Times New Roman" w:hAnsi="Times New Roman"/>
          <w:sz w:val="24"/>
          <w:szCs w:val="24"/>
          <w:lang w:eastAsia="ru-RU"/>
        </w:rPr>
        <w:t>, работа уже не столько с отдельными бизнесами, сколько с кластерами МСБ, объединенными производственными цепочками и деловыми связями…..</w:t>
      </w:r>
    </w:p>
    <w:p w:rsidR="00A41262" w:rsidRPr="005F1178" w:rsidRDefault="00A41262"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В 2012 году продуктовая линейка кредитов для МСБ сместилась в сторону более технологичных, конвейерных продуктов…..</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Дополнительный фактор, изменивший срочность портфелей МСБ</w:t>
      </w:r>
      <w:r w:rsidR="00CC7E85">
        <w:rPr>
          <w:rFonts w:ascii="Times New Roman" w:hAnsi="Times New Roman"/>
          <w:sz w:val="24"/>
          <w:szCs w:val="24"/>
          <w:lang w:eastAsia="ru-RU"/>
        </w:rPr>
        <w:t>,</w:t>
      </w:r>
      <w:r w:rsidRPr="005F1178">
        <w:rPr>
          <w:rFonts w:ascii="Times New Roman" w:hAnsi="Times New Roman"/>
          <w:sz w:val="24"/>
          <w:szCs w:val="24"/>
          <w:lang w:eastAsia="ru-RU"/>
        </w:rPr>
        <w:t xml:space="preserve"> – запуск «кредитных фабрик» крупными банками…..</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В середине 2012 года отмечался рост просрочки, в основном за счет крупных банков, активно использующих кредитные конвейеры, дающие большую проблемную задолженность…..</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Механизмы государственной поддержки кредитования МСБ столкнулись с системной проблемой: убывающей отдачей от вливания финансовых ресурсов…..</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Региональные ограничения приводят к тому, что местные власти вынуждены «навешивать» на гарантийные фонды множество других задач, в частности микрофинансирование, проведение всевозможных выставок, конференций и т.</w:t>
      </w:r>
      <w:r w:rsidR="00B11CFA">
        <w:rPr>
          <w:rFonts w:ascii="Times New Roman" w:hAnsi="Times New Roman"/>
          <w:sz w:val="24"/>
          <w:szCs w:val="24"/>
          <w:lang w:eastAsia="ru-RU"/>
        </w:rPr>
        <w:t xml:space="preserve"> </w:t>
      </w:r>
      <w:r w:rsidRPr="005F1178">
        <w:rPr>
          <w:rFonts w:ascii="Times New Roman" w:hAnsi="Times New Roman"/>
          <w:sz w:val="24"/>
          <w:szCs w:val="24"/>
          <w:lang w:eastAsia="ru-RU"/>
        </w:rPr>
        <w:t>д……</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 xml:space="preserve">Экстенсивное увеличение объемов господдержки кредитования МСБ должно идти вместе </w:t>
      </w:r>
      <w:r w:rsidR="00B11CFA">
        <w:rPr>
          <w:rFonts w:ascii="Times New Roman" w:hAnsi="Times New Roman"/>
          <w:sz w:val="24"/>
          <w:szCs w:val="24"/>
          <w:lang w:eastAsia="ru-RU"/>
        </w:rPr>
        <w:t xml:space="preserve">с </w:t>
      </w:r>
      <w:r w:rsidRPr="005F1178">
        <w:rPr>
          <w:rFonts w:ascii="Times New Roman" w:hAnsi="Times New Roman"/>
          <w:sz w:val="24"/>
          <w:szCs w:val="24"/>
          <w:lang w:eastAsia="ru-RU"/>
        </w:rPr>
        <w:t>преодолением структурных проблем……</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«Эксперт РА» ожидает роста портфелей МСБ в 2013 году на уровне 15-17%....</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Банки, принявшие участие в опросе «Эксперт</w:t>
      </w:r>
      <w:r w:rsidR="00B11CFA">
        <w:rPr>
          <w:rFonts w:ascii="Times New Roman" w:hAnsi="Times New Roman"/>
          <w:sz w:val="24"/>
          <w:szCs w:val="24"/>
          <w:lang w:eastAsia="ru-RU"/>
        </w:rPr>
        <w:t>а</w:t>
      </w:r>
      <w:r w:rsidRPr="005F1178">
        <w:rPr>
          <w:rFonts w:ascii="Times New Roman" w:hAnsi="Times New Roman"/>
          <w:sz w:val="24"/>
          <w:szCs w:val="24"/>
          <w:lang w:eastAsia="ru-RU"/>
        </w:rPr>
        <w:t xml:space="preserve"> РА», снизили ориентиры по росту своих портфелей МСБ в среднем на 5-7 п.</w:t>
      </w:r>
      <w:r w:rsidR="00B11CFA">
        <w:rPr>
          <w:rFonts w:ascii="Times New Roman" w:hAnsi="Times New Roman"/>
          <w:sz w:val="24"/>
          <w:szCs w:val="24"/>
          <w:lang w:eastAsia="ru-RU"/>
        </w:rPr>
        <w:t xml:space="preserve"> </w:t>
      </w:r>
      <w:r w:rsidRPr="005F1178">
        <w:rPr>
          <w:rFonts w:ascii="Times New Roman" w:hAnsi="Times New Roman"/>
          <w:sz w:val="24"/>
          <w:szCs w:val="24"/>
          <w:lang w:eastAsia="ru-RU"/>
        </w:rPr>
        <w:t>п….</w:t>
      </w:r>
    </w:p>
    <w:p w:rsidR="006C6338" w:rsidRPr="005F1178" w:rsidRDefault="006C6338" w:rsidP="006C6338">
      <w:pPr>
        <w:autoSpaceDE w:val="0"/>
        <w:autoSpaceDN w:val="0"/>
        <w:adjustRightInd w:val="0"/>
        <w:spacing w:after="120" w:line="240" w:lineRule="auto"/>
        <w:jc w:val="both"/>
        <w:rPr>
          <w:rFonts w:ascii="Times New Roman" w:hAnsi="Times New Roman"/>
          <w:sz w:val="24"/>
          <w:szCs w:val="24"/>
          <w:lang w:eastAsia="ru-RU"/>
        </w:rPr>
      </w:pPr>
      <w:r w:rsidRPr="005F1178">
        <w:rPr>
          <w:rFonts w:ascii="Times New Roman" w:hAnsi="Times New Roman"/>
          <w:sz w:val="24"/>
          <w:szCs w:val="24"/>
          <w:lang w:eastAsia="ru-RU"/>
        </w:rPr>
        <w:t xml:space="preserve">Рост </w:t>
      </w:r>
      <w:proofErr w:type="spellStart"/>
      <w:r w:rsidRPr="005F1178">
        <w:rPr>
          <w:rFonts w:ascii="Times New Roman" w:hAnsi="Times New Roman"/>
          <w:sz w:val="24"/>
          <w:szCs w:val="24"/>
          <w:lang w:eastAsia="ru-RU"/>
        </w:rPr>
        <w:t>соцвзносов</w:t>
      </w:r>
      <w:proofErr w:type="spellEnd"/>
      <w:r w:rsidRPr="005F1178">
        <w:rPr>
          <w:rFonts w:ascii="Times New Roman" w:hAnsi="Times New Roman"/>
          <w:sz w:val="24"/>
          <w:szCs w:val="24"/>
          <w:lang w:eastAsia="ru-RU"/>
        </w:rPr>
        <w:t xml:space="preserve"> привел к вымыванию с рынка значительного количества ИП, которые перешли в </w:t>
      </w:r>
      <w:r w:rsidR="00B11CFA">
        <w:rPr>
          <w:rFonts w:ascii="Times New Roman" w:hAnsi="Times New Roman"/>
          <w:sz w:val="24"/>
          <w:szCs w:val="24"/>
          <w:lang w:eastAsia="ru-RU"/>
        </w:rPr>
        <w:t>«</w:t>
      </w:r>
      <w:r w:rsidRPr="005F1178">
        <w:rPr>
          <w:rFonts w:ascii="Times New Roman" w:hAnsi="Times New Roman"/>
          <w:sz w:val="24"/>
          <w:szCs w:val="24"/>
          <w:lang w:eastAsia="ru-RU"/>
        </w:rPr>
        <w:t>серую зону</w:t>
      </w:r>
      <w:r w:rsidR="00B11CFA">
        <w:rPr>
          <w:rFonts w:ascii="Times New Roman" w:hAnsi="Times New Roman"/>
          <w:sz w:val="24"/>
          <w:szCs w:val="24"/>
          <w:lang w:eastAsia="ru-RU"/>
        </w:rPr>
        <w:t>»</w:t>
      </w:r>
      <w:r w:rsidRPr="005F1178">
        <w:rPr>
          <w:rFonts w:ascii="Times New Roman" w:hAnsi="Times New Roman"/>
          <w:sz w:val="24"/>
          <w:szCs w:val="24"/>
          <w:lang w:eastAsia="ru-RU"/>
        </w:rPr>
        <w:t>….</w:t>
      </w:r>
    </w:p>
    <w:p w:rsidR="00A41262" w:rsidRPr="005F1178" w:rsidRDefault="00A41262" w:rsidP="00A41262">
      <w:pPr>
        <w:rPr>
          <w:lang w:eastAsia="ru-RU"/>
        </w:rPr>
      </w:pPr>
    </w:p>
    <w:p w:rsidR="00B764A6" w:rsidRPr="005F1178" w:rsidRDefault="00B764A6" w:rsidP="00B764A6">
      <w:pPr>
        <w:pStyle w:val="1"/>
      </w:pPr>
      <w:r w:rsidRPr="005F1178">
        <w:br w:type="page"/>
      </w:r>
      <w:bookmarkStart w:id="1" w:name="_Toc352162043"/>
      <w:r w:rsidRPr="005F1178">
        <w:lastRenderedPageBreak/>
        <w:t>Оглавление</w:t>
      </w:r>
      <w:bookmarkEnd w:id="1"/>
    </w:p>
    <w:p w:rsidR="00143F8B" w:rsidRPr="005F1178" w:rsidRDefault="00B764A6">
      <w:pPr>
        <w:pStyle w:val="11"/>
        <w:rPr>
          <w:rFonts w:asciiTheme="minorHAnsi" w:eastAsiaTheme="minorEastAsia" w:hAnsiTheme="minorHAnsi" w:cstheme="minorBidi"/>
          <w:noProof/>
          <w:sz w:val="22"/>
          <w:szCs w:val="22"/>
        </w:rPr>
      </w:pPr>
      <w:r w:rsidRPr="005F1178">
        <w:rPr>
          <w:sz w:val="28"/>
          <w:szCs w:val="28"/>
        </w:rPr>
        <w:fldChar w:fldCharType="begin"/>
      </w:r>
      <w:r w:rsidRPr="005F1178">
        <w:rPr>
          <w:sz w:val="28"/>
          <w:szCs w:val="28"/>
        </w:rPr>
        <w:instrText xml:space="preserve"> TOC \o "1-3" \h \z \u </w:instrText>
      </w:r>
      <w:r w:rsidRPr="005F1178">
        <w:rPr>
          <w:sz w:val="28"/>
          <w:szCs w:val="28"/>
        </w:rPr>
        <w:fldChar w:fldCharType="separate"/>
      </w:r>
      <w:hyperlink w:anchor="_Toc352162043" w:history="1">
        <w:r w:rsidR="00143F8B" w:rsidRPr="005F1178">
          <w:rPr>
            <w:rStyle w:val="aa"/>
            <w:noProof/>
          </w:rPr>
          <w:t>Оглавление</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_Toc352162043 \h </w:instrText>
        </w:r>
        <w:r w:rsidR="00143F8B" w:rsidRPr="005F1178">
          <w:rPr>
            <w:noProof/>
            <w:webHidden/>
          </w:rPr>
        </w:r>
        <w:r w:rsidR="00143F8B" w:rsidRPr="005F1178">
          <w:rPr>
            <w:noProof/>
            <w:webHidden/>
          </w:rPr>
          <w:fldChar w:fldCharType="separate"/>
        </w:r>
        <w:r w:rsidR="00143F8B" w:rsidRPr="005F1178">
          <w:rPr>
            <w:noProof/>
            <w:webHidden/>
          </w:rPr>
          <w:t>3</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44" w:history="1">
        <w:r w:rsidR="00143F8B" w:rsidRPr="005F1178">
          <w:rPr>
            <w:rStyle w:val="aa"/>
            <w:noProof/>
          </w:rPr>
          <w:t>Резюме</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_Toc352162044 \h </w:instrText>
        </w:r>
        <w:r w:rsidR="00143F8B" w:rsidRPr="005F1178">
          <w:rPr>
            <w:noProof/>
            <w:webHidden/>
          </w:rPr>
        </w:r>
        <w:r w:rsidR="00143F8B" w:rsidRPr="005F1178">
          <w:rPr>
            <w:noProof/>
            <w:webHidden/>
          </w:rPr>
          <w:fldChar w:fldCharType="separate"/>
        </w:r>
        <w:r w:rsidR="00143F8B" w:rsidRPr="005F1178">
          <w:rPr>
            <w:noProof/>
            <w:webHidden/>
          </w:rPr>
          <w:t>4</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45" w:history="1">
        <w:r w:rsidR="00143F8B" w:rsidRPr="005F1178">
          <w:rPr>
            <w:rStyle w:val="aa"/>
            <w:noProof/>
          </w:rPr>
          <w:t>Методика исследования</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_Toc352162045 \h </w:instrText>
        </w:r>
        <w:r w:rsidR="00143F8B" w:rsidRPr="005F1178">
          <w:rPr>
            <w:noProof/>
            <w:webHidden/>
          </w:rPr>
        </w:r>
        <w:r w:rsidR="00143F8B" w:rsidRPr="005F1178">
          <w:rPr>
            <w:noProof/>
            <w:webHidden/>
          </w:rPr>
          <w:fldChar w:fldCharType="separate"/>
        </w:r>
        <w:r w:rsidR="00143F8B" w:rsidRPr="005F1178">
          <w:rPr>
            <w:noProof/>
            <w:webHidden/>
          </w:rPr>
          <w:t>6</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46" w:history="1">
        <w:r w:rsidR="00143F8B" w:rsidRPr="005F1178">
          <w:rPr>
            <w:rStyle w:val="aa"/>
            <w:noProof/>
          </w:rPr>
          <w:t>Структура кредитных продуктов для МСБ</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_Toc352162046 \h </w:instrText>
        </w:r>
        <w:r w:rsidR="00143F8B" w:rsidRPr="005F1178">
          <w:rPr>
            <w:noProof/>
            <w:webHidden/>
          </w:rPr>
        </w:r>
        <w:r w:rsidR="00143F8B" w:rsidRPr="005F1178">
          <w:rPr>
            <w:noProof/>
            <w:webHidden/>
          </w:rPr>
          <w:fldChar w:fldCharType="separate"/>
        </w:r>
        <w:r w:rsidR="00143F8B" w:rsidRPr="005F1178">
          <w:rPr>
            <w:noProof/>
            <w:webHidden/>
          </w:rPr>
          <w:t>13</w:t>
        </w:r>
        <w:r w:rsidR="00143F8B" w:rsidRPr="005F1178">
          <w:rPr>
            <w:noProof/>
            <w:webHidden/>
          </w:rPr>
          <w:fldChar w:fldCharType="end"/>
        </w:r>
      </w:hyperlink>
    </w:p>
    <w:p w:rsidR="00143F8B" w:rsidRPr="005F1178" w:rsidRDefault="00A95944">
      <w:pPr>
        <w:pStyle w:val="21"/>
        <w:tabs>
          <w:tab w:val="right" w:leader="dot" w:pos="9345"/>
        </w:tabs>
        <w:rPr>
          <w:rFonts w:asciiTheme="minorHAnsi" w:eastAsiaTheme="minorEastAsia" w:hAnsiTheme="minorHAnsi" w:cstheme="minorBidi"/>
          <w:noProof/>
          <w:sz w:val="22"/>
          <w:szCs w:val="22"/>
        </w:rPr>
      </w:pPr>
      <w:hyperlink w:anchor="_Toc352162047" w:history="1">
        <w:r w:rsidR="00143F8B" w:rsidRPr="005F1178">
          <w:rPr>
            <w:rStyle w:val="aa"/>
            <w:noProof/>
          </w:rPr>
          <w:t>Тотальное обслуживание</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_Toc352162047 \h </w:instrText>
        </w:r>
        <w:r w:rsidR="00143F8B" w:rsidRPr="005F1178">
          <w:rPr>
            <w:noProof/>
            <w:webHidden/>
          </w:rPr>
        </w:r>
        <w:r w:rsidR="00143F8B" w:rsidRPr="005F1178">
          <w:rPr>
            <w:noProof/>
            <w:webHidden/>
          </w:rPr>
          <w:fldChar w:fldCharType="separate"/>
        </w:r>
        <w:r w:rsidR="00143F8B" w:rsidRPr="005F1178">
          <w:rPr>
            <w:noProof/>
            <w:webHidden/>
          </w:rPr>
          <w:t>13</w:t>
        </w:r>
        <w:r w:rsidR="00143F8B" w:rsidRPr="005F1178">
          <w:rPr>
            <w:noProof/>
            <w:webHidden/>
          </w:rPr>
          <w:fldChar w:fldCharType="end"/>
        </w:r>
      </w:hyperlink>
    </w:p>
    <w:p w:rsidR="00143F8B" w:rsidRPr="005F1178" w:rsidRDefault="00A95944">
      <w:pPr>
        <w:pStyle w:val="21"/>
        <w:tabs>
          <w:tab w:val="right" w:leader="dot" w:pos="9345"/>
        </w:tabs>
        <w:rPr>
          <w:rFonts w:asciiTheme="minorHAnsi" w:eastAsiaTheme="minorEastAsia" w:hAnsiTheme="minorHAnsi" w:cstheme="minorBidi"/>
          <w:noProof/>
          <w:sz w:val="22"/>
          <w:szCs w:val="22"/>
        </w:rPr>
      </w:pPr>
      <w:hyperlink w:anchor="_Toc352162048" w:history="1">
        <w:r w:rsidR="00143F8B" w:rsidRPr="005F1178">
          <w:rPr>
            <w:rStyle w:val="aa"/>
            <w:noProof/>
          </w:rPr>
          <w:t>Отрасли и сроки: уход от рисков</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_Toc352162048 \h </w:instrText>
        </w:r>
        <w:r w:rsidR="00143F8B" w:rsidRPr="005F1178">
          <w:rPr>
            <w:noProof/>
            <w:webHidden/>
          </w:rPr>
        </w:r>
        <w:r w:rsidR="00143F8B" w:rsidRPr="005F1178">
          <w:rPr>
            <w:noProof/>
            <w:webHidden/>
          </w:rPr>
          <w:fldChar w:fldCharType="separate"/>
        </w:r>
        <w:r w:rsidR="00143F8B" w:rsidRPr="005F1178">
          <w:rPr>
            <w:noProof/>
            <w:webHidden/>
          </w:rPr>
          <w:t>16</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49" w:history="1">
        <w:r w:rsidR="00143F8B" w:rsidRPr="005F1178">
          <w:rPr>
            <w:rStyle w:val="aa"/>
            <w:noProof/>
          </w:rPr>
          <w:t>Смежные сегменты: лизинг и факторинг для МСБ</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_Toc352162049 \h </w:instrText>
        </w:r>
        <w:r w:rsidR="00143F8B" w:rsidRPr="005F1178">
          <w:rPr>
            <w:noProof/>
            <w:webHidden/>
          </w:rPr>
        </w:r>
        <w:r w:rsidR="00143F8B" w:rsidRPr="005F1178">
          <w:rPr>
            <w:noProof/>
            <w:webHidden/>
          </w:rPr>
          <w:fldChar w:fldCharType="separate"/>
        </w:r>
        <w:r w:rsidR="00143F8B" w:rsidRPr="005F1178">
          <w:rPr>
            <w:noProof/>
            <w:webHidden/>
          </w:rPr>
          <w:t>19</w:t>
        </w:r>
        <w:r w:rsidR="00143F8B" w:rsidRPr="005F1178">
          <w:rPr>
            <w:noProof/>
            <w:webHidden/>
          </w:rPr>
          <w:fldChar w:fldCharType="end"/>
        </w:r>
      </w:hyperlink>
    </w:p>
    <w:p w:rsidR="00143F8B" w:rsidRPr="005F1178" w:rsidRDefault="00A95944">
      <w:pPr>
        <w:pStyle w:val="21"/>
        <w:tabs>
          <w:tab w:val="right" w:leader="dot" w:pos="9345"/>
        </w:tabs>
        <w:rPr>
          <w:rFonts w:asciiTheme="minorHAnsi" w:eastAsiaTheme="minorEastAsia" w:hAnsiTheme="minorHAnsi" w:cstheme="minorBidi"/>
          <w:noProof/>
          <w:sz w:val="22"/>
          <w:szCs w:val="22"/>
        </w:rPr>
      </w:pPr>
      <w:hyperlink w:anchor="_Toc352162050" w:history="1">
        <w:r w:rsidR="00143F8B" w:rsidRPr="005F1178">
          <w:rPr>
            <w:rStyle w:val="aa"/>
            <w:noProof/>
          </w:rPr>
          <w:t>Факторинг: МСБ отстает</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_Toc352162050 \h </w:instrText>
        </w:r>
        <w:r w:rsidR="00143F8B" w:rsidRPr="005F1178">
          <w:rPr>
            <w:noProof/>
            <w:webHidden/>
          </w:rPr>
        </w:r>
        <w:r w:rsidR="00143F8B" w:rsidRPr="005F1178">
          <w:rPr>
            <w:noProof/>
            <w:webHidden/>
          </w:rPr>
          <w:fldChar w:fldCharType="separate"/>
        </w:r>
        <w:r w:rsidR="00143F8B" w:rsidRPr="005F1178">
          <w:rPr>
            <w:noProof/>
            <w:webHidden/>
          </w:rPr>
          <w:t>19</w:t>
        </w:r>
        <w:r w:rsidR="00143F8B" w:rsidRPr="005F1178">
          <w:rPr>
            <w:noProof/>
            <w:webHidden/>
          </w:rPr>
          <w:fldChar w:fldCharType="end"/>
        </w:r>
      </w:hyperlink>
    </w:p>
    <w:p w:rsidR="00143F8B" w:rsidRPr="005F1178" w:rsidRDefault="00A95944">
      <w:pPr>
        <w:pStyle w:val="21"/>
        <w:tabs>
          <w:tab w:val="right" w:leader="dot" w:pos="9345"/>
        </w:tabs>
        <w:rPr>
          <w:rFonts w:asciiTheme="minorHAnsi" w:eastAsiaTheme="minorEastAsia" w:hAnsiTheme="minorHAnsi" w:cstheme="minorBidi"/>
          <w:noProof/>
          <w:sz w:val="22"/>
          <w:szCs w:val="22"/>
        </w:rPr>
      </w:pPr>
      <w:hyperlink w:anchor="_Toc352162051" w:history="1">
        <w:r w:rsidR="00143F8B" w:rsidRPr="005F1178">
          <w:rPr>
            <w:rStyle w:val="aa"/>
            <w:noProof/>
          </w:rPr>
          <w:t>Лизинг для МСБ: лидер по темпам роста</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_Toc352162051 \h </w:instrText>
        </w:r>
        <w:r w:rsidR="00143F8B" w:rsidRPr="005F1178">
          <w:rPr>
            <w:noProof/>
            <w:webHidden/>
          </w:rPr>
        </w:r>
        <w:r w:rsidR="00143F8B" w:rsidRPr="005F1178">
          <w:rPr>
            <w:noProof/>
            <w:webHidden/>
          </w:rPr>
          <w:fldChar w:fldCharType="separate"/>
        </w:r>
        <w:r w:rsidR="00143F8B" w:rsidRPr="005F1178">
          <w:rPr>
            <w:noProof/>
            <w:webHidden/>
          </w:rPr>
          <w:t>22</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52" w:history="1">
        <w:r w:rsidR="00143F8B" w:rsidRPr="005F1178">
          <w:rPr>
            <w:rStyle w:val="aa"/>
            <w:noProof/>
          </w:rPr>
          <w:t>Господдержка: пределы роста</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_Toc352162052 \h </w:instrText>
        </w:r>
        <w:r w:rsidR="00143F8B" w:rsidRPr="005F1178">
          <w:rPr>
            <w:noProof/>
            <w:webHidden/>
          </w:rPr>
        </w:r>
        <w:r w:rsidR="00143F8B" w:rsidRPr="005F1178">
          <w:rPr>
            <w:noProof/>
            <w:webHidden/>
          </w:rPr>
          <w:fldChar w:fldCharType="separate"/>
        </w:r>
        <w:r w:rsidR="00143F8B" w:rsidRPr="005F1178">
          <w:rPr>
            <w:noProof/>
            <w:webHidden/>
          </w:rPr>
          <w:t>24</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53" w:history="1">
        <w:r w:rsidR="00143F8B" w:rsidRPr="005F1178">
          <w:rPr>
            <w:rStyle w:val="aa"/>
            <w:noProof/>
          </w:rPr>
          <w:t>Прогноз умеренно позитивный</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_Toc352162053 \h </w:instrText>
        </w:r>
        <w:r w:rsidR="00143F8B" w:rsidRPr="005F1178">
          <w:rPr>
            <w:noProof/>
            <w:webHidden/>
          </w:rPr>
        </w:r>
        <w:r w:rsidR="00143F8B" w:rsidRPr="005F1178">
          <w:rPr>
            <w:noProof/>
            <w:webHidden/>
          </w:rPr>
          <w:fldChar w:fldCharType="separate"/>
        </w:r>
        <w:r w:rsidR="00143F8B" w:rsidRPr="005F1178">
          <w:rPr>
            <w:noProof/>
            <w:webHidden/>
          </w:rPr>
          <w:t>25</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54" w:history="1">
        <w:r w:rsidR="00143F8B" w:rsidRPr="005F1178">
          <w:rPr>
            <w:rStyle w:val="aa"/>
            <w:noProof/>
          </w:rPr>
          <w:t>ПРИЛОЖЕНИЕ 1. Интервью с партнерами исследования</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_Toc352162054 \h </w:instrText>
        </w:r>
        <w:r w:rsidR="00143F8B" w:rsidRPr="005F1178">
          <w:rPr>
            <w:noProof/>
            <w:webHidden/>
          </w:rPr>
        </w:r>
        <w:r w:rsidR="00143F8B" w:rsidRPr="005F1178">
          <w:rPr>
            <w:noProof/>
            <w:webHidden/>
          </w:rPr>
          <w:fldChar w:fldCharType="separate"/>
        </w:r>
        <w:r w:rsidR="00143F8B" w:rsidRPr="005F1178">
          <w:rPr>
            <w:noProof/>
            <w:webHidden/>
          </w:rPr>
          <w:t>29</w:t>
        </w:r>
        <w:r w:rsidR="00143F8B" w:rsidRPr="005F1178">
          <w:rPr>
            <w:noProof/>
            <w:webHidden/>
          </w:rPr>
          <w:fldChar w:fldCharType="end"/>
        </w:r>
      </w:hyperlink>
    </w:p>
    <w:p w:rsidR="00143F8B" w:rsidRPr="005F1178" w:rsidRDefault="00A95944">
      <w:pPr>
        <w:pStyle w:val="11"/>
        <w:rPr>
          <w:rFonts w:asciiTheme="minorHAnsi" w:eastAsiaTheme="minorEastAsia" w:hAnsiTheme="minorHAnsi" w:cstheme="minorBidi"/>
          <w:noProof/>
          <w:sz w:val="22"/>
          <w:szCs w:val="22"/>
        </w:rPr>
      </w:pPr>
      <w:hyperlink w:anchor="_Toc352162055" w:history="1">
        <w:r w:rsidR="00143F8B" w:rsidRPr="005F1178">
          <w:rPr>
            <w:rStyle w:val="aa"/>
            <w:noProof/>
          </w:rPr>
          <w:t>ПРИЛОЖЕНИЕ 2. Рэнкинги и справочная информация</w:t>
        </w:r>
        <w:r w:rsidR="00143F8B" w:rsidRPr="005F1178">
          <w:rPr>
            <w:noProof/>
            <w:webHidden/>
          </w:rPr>
          <w:tab/>
        </w:r>
        <w:r w:rsidR="00143F8B" w:rsidRPr="005F1178">
          <w:rPr>
            <w:noProof/>
            <w:webHidden/>
          </w:rPr>
          <w:fldChar w:fldCharType="begin"/>
        </w:r>
        <w:r w:rsidR="00143F8B" w:rsidRPr="005F1178">
          <w:rPr>
            <w:noProof/>
            <w:webHidden/>
          </w:rPr>
          <w:instrText xml:space="preserve"> PAGEREF _Toc352162055 \h </w:instrText>
        </w:r>
        <w:r w:rsidR="00143F8B" w:rsidRPr="005F1178">
          <w:rPr>
            <w:noProof/>
            <w:webHidden/>
          </w:rPr>
        </w:r>
        <w:r w:rsidR="00143F8B" w:rsidRPr="005F1178">
          <w:rPr>
            <w:noProof/>
            <w:webHidden/>
          </w:rPr>
          <w:fldChar w:fldCharType="separate"/>
        </w:r>
        <w:r w:rsidR="00143F8B" w:rsidRPr="005F1178">
          <w:rPr>
            <w:noProof/>
            <w:webHidden/>
          </w:rPr>
          <w:t>42</w:t>
        </w:r>
        <w:r w:rsidR="00143F8B" w:rsidRPr="005F1178">
          <w:rPr>
            <w:noProof/>
            <w:webHidden/>
          </w:rPr>
          <w:fldChar w:fldCharType="end"/>
        </w:r>
      </w:hyperlink>
    </w:p>
    <w:p w:rsidR="00D53A6D" w:rsidRPr="005F1178" w:rsidRDefault="00B764A6" w:rsidP="00B764A6">
      <w:pPr>
        <w:jc w:val="both"/>
        <w:rPr>
          <w:i/>
        </w:rPr>
      </w:pPr>
      <w:r w:rsidRPr="005F1178">
        <w:rPr>
          <w:sz w:val="28"/>
          <w:szCs w:val="28"/>
        </w:rPr>
        <w:fldChar w:fldCharType="end"/>
      </w:r>
    </w:p>
    <w:p w:rsidR="00B764A6" w:rsidRPr="005F1178" w:rsidRDefault="00B764A6" w:rsidP="00B764A6">
      <w:pPr>
        <w:pStyle w:val="1"/>
        <w:jc w:val="both"/>
      </w:pPr>
      <w:r w:rsidRPr="005F1178">
        <w:rPr>
          <w:i/>
        </w:rPr>
        <w:br w:type="page"/>
      </w:r>
      <w:bookmarkStart w:id="2" w:name="_Toc352162044"/>
      <w:r w:rsidRPr="005F1178">
        <w:lastRenderedPageBreak/>
        <w:t>Резюме</w:t>
      </w:r>
      <w:bookmarkEnd w:id="2"/>
    </w:p>
    <w:p w:rsidR="0079140E" w:rsidRPr="005F1178" w:rsidRDefault="00682459" w:rsidP="00682459">
      <w:pPr>
        <w:spacing w:after="0"/>
        <w:jc w:val="both"/>
        <w:rPr>
          <w:rFonts w:ascii="Times New Roman" w:hAnsi="Times New Roman" w:cs="Times New Roman"/>
          <w:b/>
          <w:sz w:val="24"/>
          <w:szCs w:val="24"/>
        </w:rPr>
      </w:pPr>
      <w:r w:rsidRPr="005F1178">
        <w:rPr>
          <w:rFonts w:ascii="Times New Roman" w:hAnsi="Times New Roman" w:cs="Times New Roman"/>
          <w:b/>
          <w:sz w:val="24"/>
          <w:szCs w:val="24"/>
        </w:rPr>
        <w:t>К</w:t>
      </w:r>
      <w:r w:rsidR="0090444C" w:rsidRPr="005F1178">
        <w:rPr>
          <w:rFonts w:ascii="Times New Roman" w:hAnsi="Times New Roman" w:cs="Times New Roman"/>
          <w:b/>
          <w:sz w:val="24"/>
          <w:szCs w:val="24"/>
        </w:rPr>
        <w:t>редитовани</w:t>
      </w:r>
      <w:r w:rsidR="002D4B79" w:rsidRPr="005F1178">
        <w:rPr>
          <w:rFonts w:ascii="Times New Roman" w:hAnsi="Times New Roman" w:cs="Times New Roman"/>
          <w:b/>
          <w:sz w:val="24"/>
          <w:szCs w:val="24"/>
        </w:rPr>
        <w:t>е</w:t>
      </w:r>
      <w:r w:rsidR="0090444C" w:rsidRPr="005F1178">
        <w:rPr>
          <w:rFonts w:ascii="Times New Roman" w:hAnsi="Times New Roman" w:cs="Times New Roman"/>
          <w:b/>
          <w:sz w:val="24"/>
          <w:szCs w:val="24"/>
        </w:rPr>
        <w:t xml:space="preserve"> МСБ</w:t>
      </w:r>
      <w:r w:rsidRPr="005F1178">
        <w:rPr>
          <w:rFonts w:ascii="Times New Roman" w:hAnsi="Times New Roman" w:cs="Times New Roman"/>
          <w:b/>
          <w:sz w:val="24"/>
          <w:szCs w:val="24"/>
        </w:rPr>
        <w:t xml:space="preserve"> </w:t>
      </w:r>
      <w:r w:rsidR="009A1431" w:rsidRPr="005F1178">
        <w:rPr>
          <w:rFonts w:ascii="Times New Roman" w:hAnsi="Times New Roman" w:cs="Times New Roman"/>
          <w:b/>
          <w:sz w:val="24"/>
          <w:szCs w:val="24"/>
        </w:rPr>
        <w:t>замедлилось</w:t>
      </w:r>
      <w:r w:rsidR="0090444C" w:rsidRPr="005F1178">
        <w:rPr>
          <w:rFonts w:ascii="Times New Roman" w:hAnsi="Times New Roman" w:cs="Times New Roman"/>
          <w:b/>
          <w:sz w:val="24"/>
          <w:szCs w:val="24"/>
        </w:rPr>
        <w:t xml:space="preserve">: </w:t>
      </w:r>
      <w:r w:rsidR="002D4B79" w:rsidRPr="005F1178">
        <w:rPr>
          <w:rFonts w:ascii="Times New Roman" w:hAnsi="Times New Roman" w:cs="Times New Roman"/>
          <w:b/>
          <w:sz w:val="24"/>
          <w:szCs w:val="24"/>
        </w:rPr>
        <w:t>в</w:t>
      </w:r>
      <w:r w:rsidR="0090444C" w:rsidRPr="005F1178">
        <w:rPr>
          <w:rFonts w:ascii="Times New Roman" w:hAnsi="Times New Roman" w:cs="Times New Roman"/>
          <w:b/>
          <w:sz w:val="24"/>
          <w:szCs w:val="24"/>
        </w:rPr>
        <w:t xml:space="preserve"> 2012 год</w:t>
      </w:r>
      <w:r w:rsidR="002D4B79" w:rsidRPr="005F1178">
        <w:rPr>
          <w:rFonts w:ascii="Times New Roman" w:hAnsi="Times New Roman" w:cs="Times New Roman"/>
          <w:b/>
          <w:sz w:val="24"/>
          <w:szCs w:val="24"/>
        </w:rPr>
        <w:t>у</w:t>
      </w:r>
      <w:r w:rsidR="0090444C" w:rsidRPr="005F1178">
        <w:rPr>
          <w:rFonts w:ascii="Times New Roman" w:hAnsi="Times New Roman" w:cs="Times New Roman"/>
          <w:b/>
          <w:sz w:val="24"/>
          <w:szCs w:val="24"/>
        </w:rPr>
        <w:t xml:space="preserve"> портфель вырос на 17% против 19 годом ранее.</w:t>
      </w:r>
      <w:r w:rsidR="0079140E" w:rsidRPr="005F1178">
        <w:rPr>
          <w:rFonts w:ascii="Times New Roman" w:hAnsi="Times New Roman" w:cs="Times New Roman"/>
          <w:b/>
          <w:sz w:val="24"/>
          <w:szCs w:val="24"/>
        </w:rPr>
        <w:t xml:space="preserve"> На фоне роста резервирования по «рознице» и </w:t>
      </w:r>
      <w:r w:rsidR="009A1431" w:rsidRPr="005F1178">
        <w:rPr>
          <w:rFonts w:ascii="Times New Roman" w:hAnsi="Times New Roman" w:cs="Times New Roman"/>
          <w:b/>
          <w:sz w:val="24"/>
          <w:szCs w:val="24"/>
        </w:rPr>
        <w:t>новаций в расчете</w:t>
      </w:r>
      <w:r w:rsidR="0079140E" w:rsidRPr="005F1178">
        <w:rPr>
          <w:rFonts w:ascii="Times New Roman" w:hAnsi="Times New Roman" w:cs="Times New Roman"/>
          <w:b/>
          <w:sz w:val="24"/>
          <w:szCs w:val="24"/>
        </w:rPr>
        <w:t xml:space="preserve"> Н</w:t>
      </w:r>
      <w:proofErr w:type="gramStart"/>
      <w:r w:rsidR="0079140E" w:rsidRPr="005F1178">
        <w:rPr>
          <w:rFonts w:ascii="Times New Roman" w:hAnsi="Times New Roman" w:cs="Times New Roman"/>
          <w:b/>
          <w:sz w:val="24"/>
          <w:szCs w:val="24"/>
        </w:rPr>
        <w:t>1</w:t>
      </w:r>
      <w:proofErr w:type="gramEnd"/>
      <w:r w:rsidR="0079140E" w:rsidRPr="005F1178">
        <w:rPr>
          <w:rFonts w:ascii="Times New Roman" w:hAnsi="Times New Roman" w:cs="Times New Roman"/>
          <w:b/>
          <w:sz w:val="24"/>
          <w:szCs w:val="24"/>
        </w:rPr>
        <w:t xml:space="preserve">, </w:t>
      </w:r>
      <w:r w:rsidR="005F1178" w:rsidRPr="005F1178">
        <w:rPr>
          <w:rFonts w:ascii="Times New Roman" w:hAnsi="Times New Roman" w:cs="Times New Roman"/>
          <w:b/>
          <w:sz w:val="24"/>
          <w:szCs w:val="24"/>
        </w:rPr>
        <w:t>ударивших</w:t>
      </w:r>
      <w:r w:rsidR="009A1431" w:rsidRPr="005F1178">
        <w:rPr>
          <w:rFonts w:ascii="Times New Roman" w:hAnsi="Times New Roman" w:cs="Times New Roman"/>
          <w:b/>
          <w:sz w:val="24"/>
          <w:szCs w:val="24"/>
        </w:rPr>
        <w:t xml:space="preserve"> по </w:t>
      </w:r>
      <w:r w:rsidR="0079140E" w:rsidRPr="005F1178">
        <w:rPr>
          <w:rFonts w:ascii="Times New Roman" w:hAnsi="Times New Roman" w:cs="Times New Roman"/>
          <w:b/>
          <w:sz w:val="24"/>
          <w:szCs w:val="24"/>
        </w:rPr>
        <w:t>крупн</w:t>
      </w:r>
      <w:r w:rsidR="009A1431" w:rsidRPr="005F1178">
        <w:rPr>
          <w:rFonts w:ascii="Times New Roman" w:hAnsi="Times New Roman" w:cs="Times New Roman"/>
          <w:b/>
          <w:sz w:val="24"/>
          <w:szCs w:val="24"/>
        </w:rPr>
        <w:t>ым ссудам</w:t>
      </w:r>
      <w:r w:rsidR="0079140E" w:rsidRPr="005F1178">
        <w:rPr>
          <w:rFonts w:ascii="Times New Roman" w:hAnsi="Times New Roman" w:cs="Times New Roman"/>
          <w:b/>
          <w:sz w:val="24"/>
          <w:szCs w:val="24"/>
        </w:rPr>
        <w:t xml:space="preserve">, </w:t>
      </w:r>
      <w:r w:rsidR="009A1431" w:rsidRPr="005F1178">
        <w:rPr>
          <w:rFonts w:ascii="Times New Roman" w:hAnsi="Times New Roman" w:cs="Times New Roman"/>
          <w:b/>
          <w:sz w:val="24"/>
          <w:szCs w:val="24"/>
        </w:rPr>
        <w:t xml:space="preserve">малый бизнес мог бы «вытянуть» рынок кредитов МСБ. </w:t>
      </w:r>
      <w:r w:rsidR="004E0A18" w:rsidRPr="005F1178">
        <w:rPr>
          <w:rFonts w:ascii="Times New Roman" w:hAnsi="Times New Roman" w:cs="Times New Roman"/>
          <w:b/>
          <w:sz w:val="24"/>
          <w:szCs w:val="24"/>
        </w:rPr>
        <w:t>Но</w:t>
      </w:r>
      <w:r w:rsidR="0079140E" w:rsidRPr="005F1178">
        <w:rPr>
          <w:rFonts w:ascii="Times New Roman" w:hAnsi="Times New Roman" w:cs="Times New Roman"/>
          <w:b/>
          <w:sz w:val="24"/>
          <w:szCs w:val="24"/>
        </w:rPr>
        <w:t xml:space="preserve"> </w:t>
      </w:r>
      <w:r w:rsidR="00AD6A56" w:rsidRPr="005F1178">
        <w:rPr>
          <w:rFonts w:ascii="Times New Roman" w:hAnsi="Times New Roman" w:cs="Times New Roman"/>
          <w:b/>
          <w:sz w:val="24"/>
          <w:szCs w:val="24"/>
        </w:rPr>
        <w:t>уход заемщиков «в тень» из-за</w:t>
      </w:r>
      <w:r w:rsidR="009A1431" w:rsidRPr="005F1178">
        <w:rPr>
          <w:rFonts w:ascii="Times New Roman" w:hAnsi="Times New Roman" w:cs="Times New Roman"/>
          <w:b/>
          <w:sz w:val="24"/>
          <w:szCs w:val="24"/>
        </w:rPr>
        <w:t xml:space="preserve"> </w:t>
      </w:r>
      <w:r w:rsidR="0079140E" w:rsidRPr="005F1178">
        <w:rPr>
          <w:rFonts w:ascii="Times New Roman" w:hAnsi="Times New Roman" w:cs="Times New Roman"/>
          <w:b/>
          <w:sz w:val="24"/>
          <w:szCs w:val="24"/>
        </w:rPr>
        <w:t>рост</w:t>
      </w:r>
      <w:r w:rsidR="00AD6A56" w:rsidRPr="005F1178">
        <w:rPr>
          <w:rFonts w:ascii="Times New Roman" w:hAnsi="Times New Roman" w:cs="Times New Roman"/>
          <w:b/>
          <w:sz w:val="24"/>
          <w:szCs w:val="24"/>
        </w:rPr>
        <w:t>а</w:t>
      </w:r>
      <w:r w:rsidR="0079140E" w:rsidRPr="005F1178">
        <w:rPr>
          <w:rFonts w:ascii="Times New Roman" w:hAnsi="Times New Roman" w:cs="Times New Roman"/>
          <w:b/>
          <w:sz w:val="24"/>
          <w:szCs w:val="24"/>
        </w:rPr>
        <w:t xml:space="preserve"> </w:t>
      </w:r>
      <w:proofErr w:type="spellStart"/>
      <w:r w:rsidR="0079140E" w:rsidRPr="005F1178">
        <w:rPr>
          <w:rFonts w:ascii="Times New Roman" w:hAnsi="Times New Roman" w:cs="Times New Roman"/>
          <w:b/>
          <w:sz w:val="24"/>
          <w:szCs w:val="24"/>
        </w:rPr>
        <w:t>соцвзносов</w:t>
      </w:r>
      <w:proofErr w:type="spellEnd"/>
      <w:r w:rsidR="00AD6A56" w:rsidRPr="005F1178">
        <w:rPr>
          <w:rFonts w:ascii="Times New Roman" w:hAnsi="Times New Roman" w:cs="Times New Roman"/>
          <w:b/>
          <w:sz w:val="24"/>
          <w:szCs w:val="24"/>
        </w:rPr>
        <w:t xml:space="preserve"> и замедление </w:t>
      </w:r>
      <w:r w:rsidR="0079140E" w:rsidRPr="005F1178">
        <w:rPr>
          <w:rFonts w:ascii="Times New Roman" w:hAnsi="Times New Roman" w:cs="Times New Roman"/>
          <w:b/>
          <w:sz w:val="24"/>
          <w:szCs w:val="24"/>
        </w:rPr>
        <w:t>экономик</w:t>
      </w:r>
      <w:r w:rsidR="00AD6A56" w:rsidRPr="005F1178">
        <w:rPr>
          <w:rFonts w:ascii="Times New Roman" w:hAnsi="Times New Roman" w:cs="Times New Roman"/>
          <w:b/>
          <w:sz w:val="24"/>
          <w:szCs w:val="24"/>
        </w:rPr>
        <w:t>и</w:t>
      </w:r>
      <w:r w:rsidR="0079140E" w:rsidRPr="005F1178">
        <w:rPr>
          <w:rFonts w:ascii="Times New Roman" w:hAnsi="Times New Roman" w:cs="Times New Roman"/>
          <w:b/>
          <w:sz w:val="24"/>
          <w:szCs w:val="24"/>
        </w:rPr>
        <w:t xml:space="preserve"> </w:t>
      </w:r>
      <w:r w:rsidR="00525778" w:rsidRPr="005F1178">
        <w:rPr>
          <w:rFonts w:ascii="Times New Roman" w:hAnsi="Times New Roman" w:cs="Times New Roman"/>
          <w:b/>
          <w:sz w:val="24"/>
          <w:szCs w:val="24"/>
        </w:rPr>
        <w:t>ограничивают</w:t>
      </w:r>
      <w:r w:rsidR="0079140E" w:rsidRPr="005F1178">
        <w:rPr>
          <w:rFonts w:ascii="Times New Roman" w:hAnsi="Times New Roman" w:cs="Times New Roman"/>
          <w:b/>
          <w:sz w:val="24"/>
          <w:szCs w:val="24"/>
        </w:rPr>
        <w:t xml:space="preserve"> </w:t>
      </w:r>
      <w:r w:rsidR="00525778" w:rsidRPr="005F1178">
        <w:rPr>
          <w:rFonts w:ascii="Times New Roman" w:hAnsi="Times New Roman" w:cs="Times New Roman"/>
          <w:b/>
          <w:sz w:val="24"/>
          <w:szCs w:val="24"/>
        </w:rPr>
        <w:t>спрос</w:t>
      </w:r>
      <w:r w:rsidR="005F1178">
        <w:rPr>
          <w:rFonts w:ascii="Times New Roman" w:hAnsi="Times New Roman" w:cs="Times New Roman"/>
          <w:b/>
          <w:sz w:val="24"/>
          <w:szCs w:val="24"/>
        </w:rPr>
        <w:t xml:space="preserve"> малого бизнеса</w:t>
      </w:r>
      <w:r w:rsidR="004E0A18" w:rsidRPr="005F1178">
        <w:rPr>
          <w:rFonts w:ascii="Times New Roman" w:hAnsi="Times New Roman" w:cs="Times New Roman"/>
          <w:b/>
          <w:sz w:val="24"/>
          <w:szCs w:val="24"/>
        </w:rPr>
        <w:t xml:space="preserve"> на кредиты</w:t>
      </w:r>
      <w:r w:rsidR="009A1431" w:rsidRPr="005F1178">
        <w:rPr>
          <w:rFonts w:ascii="Times New Roman" w:hAnsi="Times New Roman" w:cs="Times New Roman"/>
          <w:b/>
          <w:sz w:val="24"/>
          <w:szCs w:val="24"/>
        </w:rPr>
        <w:t xml:space="preserve">, </w:t>
      </w:r>
      <w:r w:rsidR="005F1178">
        <w:rPr>
          <w:rFonts w:ascii="Times New Roman" w:hAnsi="Times New Roman" w:cs="Times New Roman"/>
          <w:b/>
          <w:sz w:val="24"/>
          <w:szCs w:val="24"/>
        </w:rPr>
        <w:t>к тому же</w:t>
      </w:r>
      <w:r w:rsidR="00725B3F" w:rsidRPr="005F1178">
        <w:rPr>
          <w:rFonts w:ascii="Times New Roman" w:hAnsi="Times New Roman" w:cs="Times New Roman"/>
          <w:b/>
          <w:sz w:val="24"/>
          <w:szCs w:val="24"/>
        </w:rPr>
        <w:t xml:space="preserve"> </w:t>
      </w:r>
      <w:r w:rsidR="009A1431" w:rsidRPr="005F1178">
        <w:rPr>
          <w:rFonts w:ascii="Times New Roman" w:hAnsi="Times New Roman" w:cs="Times New Roman"/>
          <w:b/>
          <w:sz w:val="24"/>
          <w:szCs w:val="24"/>
        </w:rPr>
        <w:t xml:space="preserve">часть спроса </w:t>
      </w:r>
      <w:r w:rsidR="00AD6A56" w:rsidRPr="005F1178">
        <w:rPr>
          <w:rFonts w:ascii="Times New Roman" w:hAnsi="Times New Roman" w:cs="Times New Roman"/>
          <w:b/>
          <w:sz w:val="24"/>
          <w:szCs w:val="24"/>
        </w:rPr>
        <w:t xml:space="preserve">переключили </w:t>
      </w:r>
      <w:r w:rsidR="009A1431" w:rsidRPr="005F1178">
        <w:rPr>
          <w:rFonts w:ascii="Times New Roman" w:hAnsi="Times New Roman" w:cs="Times New Roman"/>
          <w:b/>
          <w:sz w:val="24"/>
          <w:szCs w:val="24"/>
        </w:rPr>
        <w:t xml:space="preserve">на себя лизинг и </w:t>
      </w:r>
      <w:proofErr w:type="spellStart"/>
      <w:r w:rsidR="009A1431" w:rsidRPr="005F1178">
        <w:rPr>
          <w:rFonts w:ascii="Times New Roman" w:hAnsi="Times New Roman" w:cs="Times New Roman"/>
          <w:b/>
          <w:sz w:val="24"/>
          <w:szCs w:val="24"/>
        </w:rPr>
        <w:t>потребкредиты</w:t>
      </w:r>
      <w:proofErr w:type="spellEnd"/>
      <w:r w:rsidR="009A1431" w:rsidRPr="005F1178">
        <w:rPr>
          <w:rFonts w:ascii="Times New Roman" w:hAnsi="Times New Roman" w:cs="Times New Roman"/>
          <w:b/>
          <w:sz w:val="24"/>
          <w:szCs w:val="24"/>
        </w:rPr>
        <w:t xml:space="preserve">. </w:t>
      </w:r>
      <w:r w:rsidR="0079140E" w:rsidRPr="005F1178">
        <w:rPr>
          <w:rFonts w:ascii="Times New Roman" w:hAnsi="Times New Roman" w:cs="Times New Roman"/>
          <w:b/>
          <w:sz w:val="24"/>
          <w:szCs w:val="24"/>
        </w:rPr>
        <w:t xml:space="preserve">В этих условиях банки делают акцент на </w:t>
      </w:r>
      <w:r w:rsidR="003E406F" w:rsidRPr="005F1178">
        <w:rPr>
          <w:rFonts w:ascii="Times New Roman" w:hAnsi="Times New Roman" w:cs="Times New Roman"/>
          <w:b/>
          <w:sz w:val="24"/>
          <w:szCs w:val="24"/>
        </w:rPr>
        <w:t>удержание имеющихся клиентов</w:t>
      </w:r>
      <w:r w:rsidR="0079140E" w:rsidRPr="005F1178">
        <w:rPr>
          <w:rFonts w:ascii="Times New Roman" w:hAnsi="Times New Roman" w:cs="Times New Roman"/>
          <w:b/>
          <w:sz w:val="24"/>
          <w:szCs w:val="24"/>
        </w:rPr>
        <w:t xml:space="preserve"> за счет </w:t>
      </w:r>
      <w:r w:rsidR="004E0A18" w:rsidRPr="005F1178">
        <w:rPr>
          <w:rFonts w:ascii="Times New Roman" w:hAnsi="Times New Roman" w:cs="Times New Roman"/>
          <w:b/>
          <w:sz w:val="24"/>
          <w:szCs w:val="24"/>
        </w:rPr>
        <w:t>комплексных тарифов</w:t>
      </w:r>
      <w:r w:rsidR="005F1178" w:rsidRPr="005F1178">
        <w:rPr>
          <w:rFonts w:ascii="Times New Roman" w:hAnsi="Times New Roman" w:cs="Times New Roman"/>
          <w:b/>
          <w:sz w:val="24"/>
          <w:szCs w:val="24"/>
        </w:rPr>
        <w:t xml:space="preserve"> и «кредитных фабрик</w:t>
      </w:r>
      <w:r w:rsidR="00525778" w:rsidRPr="005F1178">
        <w:rPr>
          <w:rFonts w:ascii="Times New Roman" w:hAnsi="Times New Roman" w:cs="Times New Roman"/>
          <w:b/>
          <w:sz w:val="24"/>
          <w:szCs w:val="24"/>
        </w:rPr>
        <w:t xml:space="preserve">», которые позволят в 2013 году </w:t>
      </w:r>
      <w:r w:rsidR="009E0FFC" w:rsidRPr="005F1178">
        <w:rPr>
          <w:rFonts w:ascii="Times New Roman" w:hAnsi="Times New Roman" w:cs="Times New Roman"/>
          <w:b/>
          <w:sz w:val="24"/>
          <w:szCs w:val="24"/>
        </w:rPr>
        <w:t xml:space="preserve">за счет небольших коротких ссуд </w:t>
      </w:r>
      <w:r w:rsidR="00007A26" w:rsidRPr="005F1178">
        <w:rPr>
          <w:rFonts w:ascii="Times New Roman" w:hAnsi="Times New Roman" w:cs="Times New Roman"/>
          <w:b/>
          <w:sz w:val="24"/>
          <w:szCs w:val="24"/>
        </w:rPr>
        <w:t xml:space="preserve">нарастить портфель </w:t>
      </w:r>
      <w:r w:rsidR="00525778" w:rsidRPr="005F1178">
        <w:rPr>
          <w:rFonts w:ascii="Times New Roman" w:hAnsi="Times New Roman" w:cs="Times New Roman"/>
          <w:b/>
          <w:sz w:val="24"/>
          <w:szCs w:val="24"/>
        </w:rPr>
        <w:t>на 15-17%.</w:t>
      </w:r>
    </w:p>
    <w:p w:rsidR="0079140E" w:rsidRPr="005F1178" w:rsidRDefault="0079140E" w:rsidP="0079140E">
      <w:pPr>
        <w:spacing w:after="0" w:line="240" w:lineRule="auto"/>
        <w:jc w:val="both"/>
        <w:rPr>
          <w:rFonts w:ascii="Times New Roman" w:hAnsi="Times New Roman" w:cs="Times New Roman"/>
          <w:b/>
          <w:sz w:val="24"/>
          <w:szCs w:val="24"/>
        </w:rPr>
      </w:pPr>
    </w:p>
    <w:p w:rsidR="00EF56EC" w:rsidRPr="005F1178" w:rsidRDefault="00075408" w:rsidP="003E4727">
      <w:pPr>
        <w:spacing w:after="120"/>
        <w:jc w:val="both"/>
        <w:rPr>
          <w:rFonts w:ascii="Times New Roman" w:hAnsi="Times New Roman" w:cs="Times New Roman"/>
          <w:b/>
          <w:sz w:val="24"/>
          <w:szCs w:val="24"/>
        </w:rPr>
      </w:pPr>
      <w:r w:rsidRPr="005F1178">
        <w:rPr>
          <w:rFonts w:ascii="Times New Roman" w:hAnsi="Times New Roman" w:cs="Times New Roman"/>
          <w:b/>
          <w:sz w:val="24"/>
          <w:szCs w:val="24"/>
        </w:rPr>
        <w:t>П</w:t>
      </w:r>
      <w:r w:rsidR="00784AB5" w:rsidRPr="005F1178">
        <w:rPr>
          <w:rFonts w:ascii="Times New Roman" w:hAnsi="Times New Roman" w:cs="Times New Roman"/>
          <w:b/>
          <w:sz w:val="24"/>
          <w:szCs w:val="24"/>
        </w:rPr>
        <w:t xml:space="preserve">ортфель кредитов МСБ вырос за 2012 год на 17% </w:t>
      </w:r>
      <w:r w:rsidR="0074207B" w:rsidRPr="005F1178">
        <w:rPr>
          <w:rFonts w:ascii="Times New Roman" w:hAnsi="Times New Roman" w:cs="Times New Roman"/>
          <w:b/>
          <w:sz w:val="24"/>
          <w:szCs w:val="24"/>
        </w:rPr>
        <w:t xml:space="preserve">(до 4,5 </w:t>
      </w:r>
      <w:proofErr w:type="gramStart"/>
      <w:r w:rsidR="0074207B" w:rsidRPr="005F1178">
        <w:rPr>
          <w:rFonts w:ascii="Times New Roman" w:hAnsi="Times New Roman" w:cs="Times New Roman"/>
          <w:b/>
          <w:sz w:val="24"/>
          <w:szCs w:val="24"/>
        </w:rPr>
        <w:t>трлн</w:t>
      </w:r>
      <w:proofErr w:type="gramEnd"/>
      <w:r w:rsidR="0074207B" w:rsidRPr="005F1178">
        <w:rPr>
          <w:rFonts w:ascii="Times New Roman" w:hAnsi="Times New Roman" w:cs="Times New Roman"/>
          <w:b/>
          <w:sz w:val="24"/>
          <w:szCs w:val="24"/>
        </w:rPr>
        <w:t xml:space="preserve"> руб</w:t>
      </w:r>
      <w:r w:rsidR="00B11CFA">
        <w:rPr>
          <w:rFonts w:ascii="Times New Roman" w:hAnsi="Times New Roman" w:cs="Times New Roman"/>
          <w:b/>
          <w:sz w:val="24"/>
          <w:szCs w:val="24"/>
        </w:rPr>
        <w:t>лей</w:t>
      </w:r>
      <w:r w:rsidR="0074207B" w:rsidRPr="005F1178">
        <w:rPr>
          <w:rFonts w:ascii="Times New Roman" w:hAnsi="Times New Roman" w:cs="Times New Roman"/>
          <w:b/>
          <w:sz w:val="24"/>
          <w:szCs w:val="24"/>
        </w:rPr>
        <w:t xml:space="preserve">) </w:t>
      </w:r>
      <w:r w:rsidR="00784AB5" w:rsidRPr="005F1178">
        <w:rPr>
          <w:rFonts w:ascii="Times New Roman" w:hAnsi="Times New Roman" w:cs="Times New Roman"/>
          <w:b/>
          <w:sz w:val="24"/>
          <w:szCs w:val="24"/>
        </w:rPr>
        <w:t xml:space="preserve">против 19% </w:t>
      </w:r>
      <w:r w:rsidR="00E155A3" w:rsidRPr="005F1178">
        <w:rPr>
          <w:rFonts w:ascii="Times New Roman" w:hAnsi="Times New Roman" w:cs="Times New Roman"/>
          <w:b/>
          <w:sz w:val="24"/>
          <w:szCs w:val="24"/>
        </w:rPr>
        <w:t xml:space="preserve">и 22% </w:t>
      </w:r>
      <w:r w:rsidR="005F1178">
        <w:rPr>
          <w:rFonts w:ascii="Times New Roman" w:hAnsi="Times New Roman" w:cs="Times New Roman"/>
          <w:b/>
          <w:sz w:val="24"/>
          <w:szCs w:val="24"/>
        </w:rPr>
        <w:t xml:space="preserve">годом и </w:t>
      </w:r>
      <w:r w:rsidR="00E155A3" w:rsidRPr="005F1178">
        <w:rPr>
          <w:rFonts w:ascii="Times New Roman" w:hAnsi="Times New Roman" w:cs="Times New Roman"/>
          <w:b/>
          <w:sz w:val="24"/>
          <w:szCs w:val="24"/>
        </w:rPr>
        <w:t>двумя ранее</w:t>
      </w:r>
      <w:r w:rsidR="00784AB5" w:rsidRPr="005F1178">
        <w:rPr>
          <w:rFonts w:ascii="Times New Roman" w:hAnsi="Times New Roman" w:cs="Times New Roman"/>
          <w:b/>
          <w:sz w:val="24"/>
          <w:szCs w:val="24"/>
        </w:rPr>
        <w:t xml:space="preserve">. </w:t>
      </w:r>
      <w:r w:rsidR="00E155A3" w:rsidRPr="005F1178">
        <w:rPr>
          <w:rFonts w:ascii="Times New Roman" w:hAnsi="Times New Roman" w:cs="Times New Roman"/>
          <w:sz w:val="24"/>
          <w:szCs w:val="24"/>
        </w:rPr>
        <w:t>Это заметно лучше результатов кредитования крупного бизнеса (+11%), однако более чем в два раза отстает от динамики розничного сегмента (+39%).</w:t>
      </w:r>
      <w:r w:rsidR="00E155A3" w:rsidRPr="005F1178">
        <w:rPr>
          <w:rFonts w:ascii="Times New Roman" w:hAnsi="Times New Roman" w:cs="Times New Roman"/>
          <w:b/>
          <w:sz w:val="24"/>
          <w:szCs w:val="24"/>
        </w:rPr>
        <w:t xml:space="preserve"> </w:t>
      </w:r>
      <w:r w:rsidR="00E155A3" w:rsidRPr="005F1178">
        <w:rPr>
          <w:rFonts w:ascii="Times New Roman" w:hAnsi="Times New Roman" w:cs="Times New Roman"/>
          <w:sz w:val="24"/>
          <w:szCs w:val="24"/>
        </w:rPr>
        <w:t xml:space="preserve">Новации в 139-И негативно отразились на работе банков со средним бизнесом, а </w:t>
      </w:r>
      <w:r w:rsidR="00B848CF" w:rsidRPr="005F1178">
        <w:rPr>
          <w:rFonts w:ascii="Times New Roman" w:hAnsi="Times New Roman" w:cs="Times New Roman"/>
          <w:sz w:val="24"/>
          <w:szCs w:val="24"/>
        </w:rPr>
        <w:t xml:space="preserve">уход </w:t>
      </w:r>
      <w:r w:rsidR="00B11CFA">
        <w:rPr>
          <w:rFonts w:ascii="Times New Roman" w:hAnsi="Times New Roman" w:cs="Times New Roman"/>
          <w:sz w:val="24"/>
          <w:szCs w:val="24"/>
        </w:rPr>
        <w:t>«</w:t>
      </w:r>
      <w:r w:rsidR="00B848CF" w:rsidRPr="005F1178">
        <w:rPr>
          <w:rFonts w:ascii="Times New Roman" w:hAnsi="Times New Roman" w:cs="Times New Roman"/>
          <w:sz w:val="24"/>
          <w:szCs w:val="24"/>
        </w:rPr>
        <w:t xml:space="preserve">в тень» из-за </w:t>
      </w:r>
      <w:r w:rsidR="00E155A3" w:rsidRPr="005F1178">
        <w:rPr>
          <w:rFonts w:ascii="Times New Roman" w:hAnsi="Times New Roman" w:cs="Times New Roman"/>
          <w:sz w:val="24"/>
          <w:szCs w:val="24"/>
        </w:rPr>
        <w:t>рост</w:t>
      </w:r>
      <w:r w:rsidR="00B848CF" w:rsidRPr="005F1178">
        <w:rPr>
          <w:rFonts w:ascii="Times New Roman" w:hAnsi="Times New Roman" w:cs="Times New Roman"/>
          <w:sz w:val="24"/>
          <w:szCs w:val="24"/>
        </w:rPr>
        <w:t>а</w:t>
      </w:r>
      <w:r w:rsidR="00E155A3" w:rsidRPr="005F1178">
        <w:rPr>
          <w:rFonts w:ascii="Times New Roman" w:hAnsi="Times New Roman" w:cs="Times New Roman"/>
          <w:sz w:val="24"/>
          <w:szCs w:val="24"/>
        </w:rPr>
        <w:t xml:space="preserve"> </w:t>
      </w:r>
      <w:r w:rsidR="005511A9" w:rsidRPr="005F1178">
        <w:rPr>
          <w:rFonts w:ascii="Times New Roman" w:hAnsi="Times New Roman" w:cs="Times New Roman"/>
          <w:sz w:val="24"/>
          <w:szCs w:val="24"/>
        </w:rPr>
        <w:t>социальных взносов</w:t>
      </w:r>
      <w:r w:rsidR="00B848CF" w:rsidRPr="005F1178">
        <w:rPr>
          <w:rFonts w:ascii="Times New Roman" w:hAnsi="Times New Roman" w:cs="Times New Roman"/>
          <w:sz w:val="24"/>
          <w:szCs w:val="24"/>
        </w:rPr>
        <w:t xml:space="preserve"> </w:t>
      </w:r>
      <w:r w:rsidR="00E155A3" w:rsidRPr="005F1178">
        <w:rPr>
          <w:rFonts w:ascii="Times New Roman" w:hAnsi="Times New Roman" w:cs="Times New Roman"/>
          <w:sz w:val="24"/>
          <w:szCs w:val="24"/>
        </w:rPr>
        <w:t xml:space="preserve">– на </w:t>
      </w:r>
      <w:r w:rsidR="00095620" w:rsidRPr="005F1178">
        <w:rPr>
          <w:rFonts w:ascii="Times New Roman" w:hAnsi="Times New Roman" w:cs="Times New Roman"/>
          <w:sz w:val="24"/>
          <w:szCs w:val="24"/>
        </w:rPr>
        <w:t>динамике кредитования</w:t>
      </w:r>
      <w:r w:rsidR="00E155A3" w:rsidRPr="005F1178">
        <w:rPr>
          <w:rFonts w:ascii="Times New Roman" w:hAnsi="Times New Roman" w:cs="Times New Roman"/>
          <w:sz w:val="24"/>
          <w:szCs w:val="24"/>
        </w:rPr>
        <w:t xml:space="preserve"> малого бизнеса.</w:t>
      </w:r>
      <w:r w:rsidR="00EF56EC" w:rsidRPr="005F1178">
        <w:rPr>
          <w:rFonts w:ascii="Times New Roman" w:hAnsi="Times New Roman" w:cs="Times New Roman"/>
          <w:sz w:val="24"/>
          <w:szCs w:val="24"/>
        </w:rPr>
        <w:t xml:space="preserve"> Банки пытаются кредитовать и </w:t>
      </w:r>
      <w:r w:rsidR="005511A9" w:rsidRPr="005F1178">
        <w:rPr>
          <w:rFonts w:ascii="Times New Roman" w:hAnsi="Times New Roman" w:cs="Times New Roman"/>
          <w:sz w:val="24"/>
          <w:szCs w:val="24"/>
        </w:rPr>
        <w:t>«тенев</w:t>
      </w:r>
      <w:r w:rsidR="00725B3F" w:rsidRPr="005F1178">
        <w:rPr>
          <w:rFonts w:ascii="Times New Roman" w:hAnsi="Times New Roman" w:cs="Times New Roman"/>
          <w:sz w:val="24"/>
          <w:szCs w:val="24"/>
        </w:rPr>
        <w:t>ы</w:t>
      </w:r>
      <w:r w:rsidR="00EF56EC" w:rsidRPr="005F1178">
        <w:rPr>
          <w:rFonts w:ascii="Times New Roman" w:hAnsi="Times New Roman" w:cs="Times New Roman"/>
          <w:sz w:val="24"/>
          <w:szCs w:val="24"/>
        </w:rPr>
        <w:t>х</w:t>
      </w:r>
      <w:r w:rsidR="005511A9" w:rsidRPr="005F1178">
        <w:rPr>
          <w:rFonts w:ascii="Times New Roman" w:hAnsi="Times New Roman" w:cs="Times New Roman"/>
          <w:sz w:val="24"/>
          <w:szCs w:val="24"/>
        </w:rPr>
        <w:t xml:space="preserve">» </w:t>
      </w:r>
      <w:r w:rsidR="00725B3F" w:rsidRPr="005F1178">
        <w:rPr>
          <w:rFonts w:ascii="Times New Roman" w:hAnsi="Times New Roman" w:cs="Times New Roman"/>
          <w:sz w:val="24"/>
          <w:szCs w:val="24"/>
        </w:rPr>
        <w:t>бизнесмен</w:t>
      </w:r>
      <w:r w:rsidR="00EF56EC" w:rsidRPr="005F1178">
        <w:rPr>
          <w:rFonts w:ascii="Times New Roman" w:hAnsi="Times New Roman" w:cs="Times New Roman"/>
          <w:sz w:val="24"/>
          <w:szCs w:val="24"/>
        </w:rPr>
        <w:t>ов, но</w:t>
      </w:r>
      <w:r w:rsidR="005511A9" w:rsidRPr="005F1178">
        <w:rPr>
          <w:rFonts w:ascii="Times New Roman" w:hAnsi="Times New Roman" w:cs="Times New Roman"/>
          <w:sz w:val="24"/>
          <w:szCs w:val="24"/>
        </w:rPr>
        <w:t xml:space="preserve"> в отчетности</w:t>
      </w:r>
      <w:r w:rsidR="00725B3F" w:rsidRPr="005F1178">
        <w:rPr>
          <w:rFonts w:ascii="Times New Roman" w:hAnsi="Times New Roman" w:cs="Times New Roman"/>
          <w:sz w:val="24"/>
          <w:szCs w:val="24"/>
        </w:rPr>
        <w:t xml:space="preserve"> банков </w:t>
      </w:r>
      <w:r w:rsidR="00EF56EC" w:rsidRPr="005F1178">
        <w:rPr>
          <w:rFonts w:ascii="Times New Roman" w:hAnsi="Times New Roman" w:cs="Times New Roman"/>
          <w:sz w:val="24"/>
          <w:szCs w:val="24"/>
        </w:rPr>
        <w:t>это отражается как</w:t>
      </w:r>
      <w:r w:rsidR="00725B3F" w:rsidRPr="005F1178">
        <w:rPr>
          <w:rFonts w:ascii="Times New Roman" w:hAnsi="Times New Roman" w:cs="Times New Roman"/>
          <w:sz w:val="24"/>
          <w:szCs w:val="24"/>
        </w:rPr>
        <w:t xml:space="preserve"> </w:t>
      </w:r>
      <w:r w:rsidR="005511A9" w:rsidRPr="005F1178">
        <w:rPr>
          <w:rFonts w:ascii="Times New Roman" w:hAnsi="Times New Roman" w:cs="Times New Roman"/>
          <w:sz w:val="24"/>
          <w:szCs w:val="24"/>
        </w:rPr>
        <w:t>ссуд</w:t>
      </w:r>
      <w:r w:rsidR="00EF56EC" w:rsidRPr="005F1178">
        <w:rPr>
          <w:rFonts w:ascii="Times New Roman" w:hAnsi="Times New Roman" w:cs="Times New Roman"/>
          <w:sz w:val="24"/>
          <w:szCs w:val="24"/>
        </w:rPr>
        <w:t>ы</w:t>
      </w:r>
      <w:r w:rsidR="005511A9" w:rsidRPr="005F1178">
        <w:rPr>
          <w:rFonts w:ascii="Times New Roman" w:hAnsi="Times New Roman" w:cs="Times New Roman"/>
          <w:sz w:val="24"/>
          <w:szCs w:val="24"/>
        </w:rPr>
        <w:t xml:space="preserve"> физическим лицам.</w:t>
      </w:r>
      <w:r w:rsidR="00E155A3" w:rsidRPr="005F1178">
        <w:rPr>
          <w:rFonts w:ascii="Times New Roman" w:hAnsi="Times New Roman" w:cs="Times New Roman"/>
          <w:b/>
          <w:sz w:val="24"/>
          <w:szCs w:val="24"/>
        </w:rPr>
        <w:t xml:space="preserve"> </w:t>
      </w:r>
    </w:p>
    <w:p w:rsidR="00E217D3" w:rsidRPr="005F1178" w:rsidRDefault="00EF56EC" w:rsidP="003E4727">
      <w:pPr>
        <w:spacing w:after="120"/>
        <w:jc w:val="both"/>
        <w:rPr>
          <w:rFonts w:ascii="Times New Roman" w:hAnsi="Times New Roman" w:cs="Times New Roman"/>
          <w:sz w:val="24"/>
          <w:szCs w:val="24"/>
        </w:rPr>
      </w:pPr>
      <w:r w:rsidRPr="005F1178">
        <w:rPr>
          <w:rFonts w:ascii="Times New Roman" w:hAnsi="Times New Roman" w:cs="Times New Roman"/>
          <w:b/>
          <w:sz w:val="24"/>
          <w:szCs w:val="24"/>
        </w:rPr>
        <w:t xml:space="preserve">Возросшая активность </w:t>
      </w:r>
      <w:r w:rsidR="00095620" w:rsidRPr="005F1178">
        <w:rPr>
          <w:rFonts w:ascii="Times New Roman" w:hAnsi="Times New Roman" w:cs="Times New Roman"/>
          <w:b/>
          <w:sz w:val="24"/>
          <w:szCs w:val="24"/>
        </w:rPr>
        <w:t>банков в развитии кредитных фабрик</w:t>
      </w:r>
      <w:r w:rsidRPr="005F1178">
        <w:rPr>
          <w:rFonts w:ascii="Times New Roman" w:hAnsi="Times New Roman" w:cs="Times New Roman"/>
          <w:b/>
          <w:sz w:val="24"/>
          <w:szCs w:val="24"/>
        </w:rPr>
        <w:t xml:space="preserve"> (поточных </w:t>
      </w:r>
      <w:proofErr w:type="spellStart"/>
      <w:r w:rsidRPr="005F1178">
        <w:rPr>
          <w:rFonts w:ascii="Times New Roman" w:hAnsi="Times New Roman" w:cs="Times New Roman"/>
          <w:b/>
          <w:sz w:val="24"/>
          <w:szCs w:val="24"/>
        </w:rPr>
        <w:t>микрокредитов</w:t>
      </w:r>
      <w:proofErr w:type="spellEnd"/>
      <w:r w:rsidRPr="005F1178">
        <w:rPr>
          <w:rFonts w:ascii="Times New Roman" w:hAnsi="Times New Roman" w:cs="Times New Roman"/>
          <w:b/>
          <w:sz w:val="24"/>
          <w:szCs w:val="24"/>
        </w:rPr>
        <w:t xml:space="preserve">) сделала портфель ссуд МСБ </w:t>
      </w:r>
      <w:proofErr w:type="gramStart"/>
      <w:r w:rsidRPr="005F1178">
        <w:rPr>
          <w:rFonts w:ascii="Times New Roman" w:hAnsi="Times New Roman" w:cs="Times New Roman"/>
          <w:b/>
          <w:sz w:val="24"/>
          <w:szCs w:val="24"/>
        </w:rPr>
        <w:t>более краткосрочным</w:t>
      </w:r>
      <w:proofErr w:type="gramEnd"/>
      <w:r w:rsidRPr="005F1178">
        <w:rPr>
          <w:rFonts w:ascii="Times New Roman" w:hAnsi="Times New Roman" w:cs="Times New Roman"/>
          <w:sz w:val="24"/>
          <w:szCs w:val="24"/>
        </w:rPr>
        <w:t xml:space="preserve">. Во </w:t>
      </w:r>
      <w:r w:rsidR="00B11CFA">
        <w:rPr>
          <w:rFonts w:ascii="Times New Roman" w:hAnsi="Times New Roman" w:cs="Times New Roman"/>
          <w:sz w:val="24"/>
          <w:szCs w:val="24"/>
        </w:rPr>
        <w:t>2</w:t>
      </w:r>
      <w:r w:rsidRPr="005F1178">
        <w:rPr>
          <w:rFonts w:ascii="Times New Roman" w:hAnsi="Times New Roman" w:cs="Times New Roman"/>
          <w:sz w:val="24"/>
          <w:szCs w:val="24"/>
        </w:rPr>
        <w:t xml:space="preserve"> полугодии 2012 года продолжилось вытеснение </w:t>
      </w:r>
      <w:r w:rsidR="00B11CFA">
        <w:rPr>
          <w:rFonts w:ascii="Times New Roman" w:hAnsi="Times New Roman" w:cs="Times New Roman"/>
          <w:sz w:val="24"/>
          <w:szCs w:val="24"/>
        </w:rPr>
        <w:t>«</w:t>
      </w:r>
      <w:r w:rsidRPr="005F1178">
        <w:rPr>
          <w:rFonts w:ascii="Times New Roman" w:hAnsi="Times New Roman" w:cs="Times New Roman"/>
          <w:sz w:val="24"/>
          <w:szCs w:val="24"/>
        </w:rPr>
        <w:t>длинных</w:t>
      </w:r>
      <w:r w:rsidR="00B11CFA">
        <w:rPr>
          <w:rFonts w:ascii="Times New Roman" w:hAnsi="Times New Roman" w:cs="Times New Roman"/>
          <w:sz w:val="24"/>
          <w:szCs w:val="24"/>
        </w:rPr>
        <w:t>»</w:t>
      </w:r>
      <w:r w:rsidRPr="005F1178">
        <w:rPr>
          <w:rFonts w:ascii="Times New Roman" w:hAnsi="Times New Roman" w:cs="Times New Roman"/>
          <w:sz w:val="24"/>
          <w:szCs w:val="24"/>
        </w:rPr>
        <w:t xml:space="preserve"> кредитов под </w:t>
      </w:r>
      <w:proofErr w:type="spellStart"/>
      <w:r w:rsidRPr="005F1178">
        <w:rPr>
          <w:rFonts w:ascii="Times New Roman" w:hAnsi="Times New Roman" w:cs="Times New Roman"/>
          <w:sz w:val="24"/>
          <w:szCs w:val="24"/>
        </w:rPr>
        <w:t>инвестпроекты</w:t>
      </w:r>
      <w:proofErr w:type="spellEnd"/>
      <w:r w:rsidRPr="005F1178">
        <w:rPr>
          <w:rFonts w:ascii="Times New Roman" w:hAnsi="Times New Roman" w:cs="Times New Roman"/>
          <w:sz w:val="24"/>
          <w:szCs w:val="24"/>
        </w:rPr>
        <w:t xml:space="preserve"> более </w:t>
      </w:r>
      <w:r w:rsidR="00B11CFA">
        <w:rPr>
          <w:rFonts w:ascii="Times New Roman" w:hAnsi="Times New Roman" w:cs="Times New Roman"/>
          <w:sz w:val="24"/>
          <w:szCs w:val="24"/>
        </w:rPr>
        <w:t>«</w:t>
      </w:r>
      <w:r w:rsidRPr="005F1178">
        <w:rPr>
          <w:rFonts w:ascii="Times New Roman" w:hAnsi="Times New Roman" w:cs="Times New Roman"/>
          <w:sz w:val="24"/>
          <w:szCs w:val="24"/>
        </w:rPr>
        <w:t>коротким</w:t>
      </w:r>
      <w:r w:rsidR="00B11CFA">
        <w:rPr>
          <w:rFonts w:ascii="Times New Roman" w:hAnsi="Times New Roman" w:cs="Times New Roman"/>
          <w:sz w:val="24"/>
          <w:szCs w:val="24"/>
        </w:rPr>
        <w:t>»</w:t>
      </w:r>
      <w:r w:rsidRPr="005F1178">
        <w:rPr>
          <w:rFonts w:ascii="Times New Roman" w:hAnsi="Times New Roman" w:cs="Times New Roman"/>
          <w:sz w:val="24"/>
          <w:szCs w:val="24"/>
        </w:rPr>
        <w:t xml:space="preserve"> финансированием. В результате доля ссуд срочностью до 12 месяцев составила около 6</w:t>
      </w:r>
      <w:r w:rsidR="00925B46" w:rsidRPr="0080651F">
        <w:rPr>
          <w:rFonts w:ascii="Times New Roman" w:hAnsi="Times New Roman" w:cs="Times New Roman"/>
          <w:sz w:val="24"/>
          <w:szCs w:val="24"/>
        </w:rPr>
        <w:t>2</w:t>
      </w:r>
      <w:r w:rsidRPr="005F1178">
        <w:rPr>
          <w:rFonts w:ascii="Times New Roman" w:hAnsi="Times New Roman" w:cs="Times New Roman"/>
          <w:sz w:val="24"/>
          <w:szCs w:val="24"/>
        </w:rPr>
        <w:t xml:space="preserve">% (против </w:t>
      </w:r>
      <w:r w:rsidR="00925B46" w:rsidRPr="0080651F">
        <w:rPr>
          <w:rFonts w:ascii="Times New Roman" w:hAnsi="Times New Roman" w:cs="Times New Roman"/>
          <w:sz w:val="24"/>
          <w:szCs w:val="24"/>
        </w:rPr>
        <w:t>56</w:t>
      </w:r>
      <w:r w:rsidRPr="005F1178">
        <w:rPr>
          <w:rFonts w:ascii="Times New Roman" w:hAnsi="Times New Roman" w:cs="Times New Roman"/>
          <w:sz w:val="24"/>
          <w:szCs w:val="24"/>
        </w:rPr>
        <w:t xml:space="preserve">% годом ранее), </w:t>
      </w:r>
      <w:r w:rsidR="00095620" w:rsidRPr="005F1178">
        <w:rPr>
          <w:rFonts w:ascii="Times New Roman" w:hAnsi="Times New Roman" w:cs="Times New Roman"/>
          <w:sz w:val="24"/>
          <w:szCs w:val="24"/>
        </w:rPr>
        <w:t xml:space="preserve">а в отраслевой структуре </w:t>
      </w:r>
      <w:r w:rsidR="00A700E3" w:rsidRPr="005F1178">
        <w:rPr>
          <w:rFonts w:ascii="Times New Roman" w:hAnsi="Times New Roman" w:cs="Times New Roman"/>
          <w:sz w:val="24"/>
          <w:szCs w:val="24"/>
        </w:rPr>
        <w:t>выросла</w:t>
      </w:r>
      <w:r w:rsidR="00095620" w:rsidRPr="005F1178">
        <w:rPr>
          <w:rFonts w:ascii="Times New Roman" w:hAnsi="Times New Roman" w:cs="Times New Roman"/>
          <w:sz w:val="24"/>
          <w:szCs w:val="24"/>
        </w:rPr>
        <w:t xml:space="preserve"> доля кредитов торговым предприятиям</w:t>
      </w:r>
      <w:r w:rsidR="003816C5" w:rsidRPr="005F1178">
        <w:rPr>
          <w:rFonts w:ascii="Times New Roman" w:hAnsi="Times New Roman" w:cs="Times New Roman"/>
          <w:sz w:val="24"/>
          <w:szCs w:val="24"/>
        </w:rPr>
        <w:t xml:space="preserve">. </w:t>
      </w:r>
    </w:p>
    <w:p w:rsidR="00224595" w:rsidRPr="005F1178" w:rsidRDefault="00075408" w:rsidP="003E4727">
      <w:pPr>
        <w:spacing w:after="120"/>
        <w:jc w:val="both"/>
        <w:rPr>
          <w:rFonts w:ascii="Times New Roman" w:hAnsi="Times New Roman" w:cs="Times New Roman"/>
          <w:b/>
          <w:sz w:val="24"/>
          <w:szCs w:val="24"/>
        </w:rPr>
      </w:pPr>
      <w:r w:rsidRPr="005F1178">
        <w:rPr>
          <w:rFonts w:ascii="Times New Roman" w:hAnsi="Times New Roman" w:cs="Times New Roman"/>
          <w:b/>
          <w:sz w:val="24"/>
          <w:szCs w:val="24"/>
        </w:rPr>
        <w:t>Ч</w:t>
      </w:r>
      <w:r w:rsidR="003816C5" w:rsidRPr="005F1178">
        <w:rPr>
          <w:rFonts w:ascii="Times New Roman" w:hAnsi="Times New Roman" w:cs="Times New Roman"/>
          <w:b/>
          <w:sz w:val="24"/>
          <w:szCs w:val="24"/>
        </w:rPr>
        <w:t>аст</w:t>
      </w:r>
      <w:r w:rsidRPr="005F1178">
        <w:rPr>
          <w:rFonts w:ascii="Times New Roman" w:hAnsi="Times New Roman" w:cs="Times New Roman"/>
          <w:b/>
          <w:sz w:val="24"/>
          <w:szCs w:val="24"/>
        </w:rPr>
        <w:t xml:space="preserve">ь спроса МСБ на </w:t>
      </w:r>
      <w:r w:rsidR="00B11CFA">
        <w:rPr>
          <w:rFonts w:ascii="Times New Roman" w:hAnsi="Times New Roman" w:cs="Times New Roman"/>
          <w:b/>
          <w:sz w:val="24"/>
          <w:szCs w:val="24"/>
        </w:rPr>
        <w:t>«</w:t>
      </w:r>
      <w:r w:rsidRPr="005F1178">
        <w:rPr>
          <w:rFonts w:ascii="Times New Roman" w:hAnsi="Times New Roman" w:cs="Times New Roman"/>
          <w:b/>
          <w:sz w:val="24"/>
          <w:szCs w:val="24"/>
        </w:rPr>
        <w:t>длинные</w:t>
      </w:r>
      <w:r w:rsidR="00B11CFA">
        <w:rPr>
          <w:rFonts w:ascii="Times New Roman" w:hAnsi="Times New Roman" w:cs="Times New Roman"/>
          <w:b/>
          <w:sz w:val="24"/>
          <w:szCs w:val="24"/>
        </w:rPr>
        <w:t>»</w:t>
      </w:r>
      <w:r w:rsidRPr="005F1178">
        <w:rPr>
          <w:rFonts w:ascii="Times New Roman" w:hAnsi="Times New Roman" w:cs="Times New Roman"/>
          <w:b/>
          <w:sz w:val="24"/>
          <w:szCs w:val="24"/>
        </w:rPr>
        <w:t xml:space="preserve"> ресурсы смогли удовлетворить</w:t>
      </w:r>
      <w:r w:rsidR="007863B2" w:rsidRPr="005F1178">
        <w:rPr>
          <w:rFonts w:ascii="Times New Roman" w:hAnsi="Times New Roman" w:cs="Times New Roman"/>
          <w:b/>
          <w:sz w:val="24"/>
          <w:szCs w:val="24"/>
        </w:rPr>
        <w:t xml:space="preserve"> лизинговы</w:t>
      </w:r>
      <w:r w:rsidRPr="005F1178">
        <w:rPr>
          <w:rFonts w:ascii="Times New Roman" w:hAnsi="Times New Roman" w:cs="Times New Roman"/>
          <w:b/>
          <w:sz w:val="24"/>
          <w:szCs w:val="24"/>
        </w:rPr>
        <w:t>е компании</w:t>
      </w:r>
      <w:r w:rsidR="007863B2" w:rsidRPr="005F1178">
        <w:rPr>
          <w:rFonts w:ascii="Times New Roman" w:hAnsi="Times New Roman" w:cs="Times New Roman"/>
          <w:sz w:val="24"/>
          <w:szCs w:val="24"/>
        </w:rPr>
        <w:t>. По итогам 2012 года доля субъектов МСБ в общем объеме нового бизнеса лизинговых компаний выросл</w:t>
      </w:r>
      <w:r w:rsidR="00B11CFA">
        <w:rPr>
          <w:rFonts w:ascii="Times New Roman" w:hAnsi="Times New Roman" w:cs="Times New Roman"/>
          <w:sz w:val="24"/>
          <w:szCs w:val="24"/>
        </w:rPr>
        <w:t>а</w:t>
      </w:r>
      <w:r w:rsidR="007863B2" w:rsidRPr="005F1178">
        <w:rPr>
          <w:rFonts w:ascii="Times New Roman" w:hAnsi="Times New Roman" w:cs="Times New Roman"/>
          <w:sz w:val="24"/>
          <w:szCs w:val="24"/>
        </w:rPr>
        <w:t xml:space="preserve"> на 6 п.</w:t>
      </w:r>
      <w:r w:rsidR="00B11CFA">
        <w:rPr>
          <w:rFonts w:ascii="Times New Roman" w:hAnsi="Times New Roman" w:cs="Times New Roman"/>
          <w:sz w:val="24"/>
          <w:szCs w:val="24"/>
        </w:rPr>
        <w:t xml:space="preserve"> </w:t>
      </w:r>
      <w:r w:rsidR="007863B2" w:rsidRPr="005F1178">
        <w:rPr>
          <w:rFonts w:ascii="Times New Roman" w:hAnsi="Times New Roman" w:cs="Times New Roman"/>
          <w:sz w:val="24"/>
          <w:szCs w:val="24"/>
        </w:rPr>
        <w:t xml:space="preserve">п. (с 28,5 до 34,8%). Одна из ключевых причин – отсутствие у лизинговых компаний требований </w:t>
      </w:r>
      <w:r w:rsidRPr="005F1178">
        <w:rPr>
          <w:rFonts w:ascii="Times New Roman" w:hAnsi="Times New Roman" w:cs="Times New Roman"/>
          <w:sz w:val="24"/>
          <w:szCs w:val="24"/>
        </w:rPr>
        <w:t xml:space="preserve">к капиталу и </w:t>
      </w:r>
      <w:r w:rsidR="007863B2" w:rsidRPr="005F1178">
        <w:rPr>
          <w:rFonts w:ascii="Times New Roman" w:hAnsi="Times New Roman" w:cs="Times New Roman"/>
          <w:sz w:val="24"/>
          <w:szCs w:val="24"/>
        </w:rPr>
        <w:t>по созданию резервов и, как следствие, возможность принятия более высоких рисков</w:t>
      </w:r>
      <w:r w:rsidRPr="005F1178">
        <w:rPr>
          <w:rFonts w:ascii="Times New Roman" w:hAnsi="Times New Roman" w:cs="Times New Roman"/>
          <w:sz w:val="24"/>
          <w:szCs w:val="24"/>
        </w:rPr>
        <w:t xml:space="preserve">. </w:t>
      </w:r>
      <w:r w:rsidR="007863B2" w:rsidRPr="005F1178">
        <w:rPr>
          <w:rFonts w:ascii="Times New Roman" w:hAnsi="Times New Roman" w:cs="Times New Roman"/>
          <w:sz w:val="24"/>
          <w:szCs w:val="24"/>
        </w:rPr>
        <w:t xml:space="preserve">А поскольку среди крупнейших лизингодателей много «дочек» ведущих банков, то зачастую изменилась только форма предоставления финансирования. </w:t>
      </w:r>
    </w:p>
    <w:p w:rsidR="00320F5B" w:rsidRPr="005F1178" w:rsidRDefault="00BB3B93" w:rsidP="00A038CE">
      <w:pPr>
        <w:jc w:val="both"/>
      </w:pPr>
      <w:r>
        <w:rPr>
          <w:rFonts w:ascii="Times New Roman" w:hAnsi="Times New Roman" w:cs="Times New Roman"/>
          <w:b/>
          <w:sz w:val="24"/>
          <w:szCs w:val="24"/>
        </w:rPr>
        <w:t>«Тотальное» обслуживание помогает: п</w:t>
      </w:r>
      <w:r w:rsidR="00320F5B" w:rsidRPr="005F1178">
        <w:rPr>
          <w:rFonts w:ascii="Times New Roman" w:hAnsi="Times New Roman" w:cs="Times New Roman"/>
          <w:b/>
          <w:sz w:val="24"/>
          <w:szCs w:val="24"/>
        </w:rPr>
        <w:t>ортфели банков</w:t>
      </w:r>
      <w:r w:rsidR="00F143A7" w:rsidRPr="005F1178">
        <w:rPr>
          <w:rFonts w:ascii="Times New Roman" w:hAnsi="Times New Roman" w:cs="Times New Roman"/>
          <w:b/>
          <w:sz w:val="24"/>
          <w:szCs w:val="24"/>
        </w:rPr>
        <w:t>, работающих с МСБ по комплексным тарифам,</w:t>
      </w:r>
      <w:r w:rsidR="00320F5B" w:rsidRPr="005F1178">
        <w:rPr>
          <w:rFonts w:ascii="Times New Roman" w:hAnsi="Times New Roman" w:cs="Times New Roman"/>
          <w:b/>
          <w:sz w:val="24"/>
          <w:szCs w:val="24"/>
        </w:rPr>
        <w:t xml:space="preserve"> показали темп прироста в 30% против 17 по рынку в целом. </w:t>
      </w:r>
      <w:r w:rsidR="003E406F" w:rsidRPr="005F1178">
        <w:rPr>
          <w:rFonts w:ascii="Times New Roman" w:hAnsi="Times New Roman" w:cs="Times New Roman"/>
          <w:sz w:val="24"/>
          <w:szCs w:val="24"/>
        </w:rPr>
        <w:t>Ч</w:t>
      </w:r>
      <w:r w:rsidR="005F1178" w:rsidRPr="005F1178">
        <w:rPr>
          <w:rFonts w:ascii="Times New Roman" w:hAnsi="Times New Roman" w:cs="Times New Roman"/>
          <w:sz w:val="24"/>
          <w:szCs w:val="24"/>
        </w:rPr>
        <w:t>исло клиентов, выбравших тарифы</w:t>
      </w:r>
      <w:r w:rsidR="003E406F" w:rsidRPr="005F1178">
        <w:rPr>
          <w:rFonts w:ascii="Times New Roman" w:hAnsi="Times New Roman" w:cs="Times New Roman"/>
          <w:sz w:val="24"/>
          <w:szCs w:val="24"/>
        </w:rPr>
        <w:t xml:space="preserve"> комплексного обслуживания МСБ, выросло за 2012 год более чем на треть. </w:t>
      </w:r>
      <w:r w:rsidR="00320F5B" w:rsidRPr="005F1178">
        <w:rPr>
          <w:rFonts w:ascii="Times New Roman" w:hAnsi="Times New Roman" w:cs="Times New Roman"/>
          <w:sz w:val="24"/>
          <w:szCs w:val="24"/>
        </w:rPr>
        <w:t>В 2012 году число расчетных счетов МСБ в банках</w:t>
      </w:r>
      <w:r w:rsidR="003816C5" w:rsidRPr="005F1178">
        <w:rPr>
          <w:rFonts w:ascii="Times New Roman" w:hAnsi="Times New Roman" w:cs="Times New Roman"/>
          <w:sz w:val="24"/>
          <w:szCs w:val="24"/>
        </w:rPr>
        <w:t xml:space="preserve"> с комплексным подходом</w:t>
      </w:r>
      <w:r w:rsidR="00320F5B" w:rsidRPr="005F1178">
        <w:rPr>
          <w:rFonts w:ascii="Times New Roman" w:hAnsi="Times New Roman" w:cs="Times New Roman"/>
          <w:sz w:val="24"/>
          <w:szCs w:val="24"/>
        </w:rPr>
        <w:t xml:space="preserve"> выросло на </w:t>
      </w:r>
      <w:r w:rsidR="003E406F" w:rsidRPr="005F1178">
        <w:rPr>
          <w:rFonts w:ascii="Times New Roman" w:hAnsi="Times New Roman" w:cs="Times New Roman"/>
          <w:sz w:val="24"/>
          <w:szCs w:val="24"/>
        </w:rPr>
        <w:t>40</w:t>
      </w:r>
      <w:r w:rsidR="00320F5B" w:rsidRPr="005F1178">
        <w:rPr>
          <w:rFonts w:ascii="Times New Roman" w:hAnsi="Times New Roman" w:cs="Times New Roman"/>
          <w:sz w:val="24"/>
          <w:szCs w:val="24"/>
        </w:rPr>
        <w:t xml:space="preserve">%, число депозитных счетов – практически удвоилось. Такие тарифы – это то, что могут предложить крупные банки взамен индивидуального подхода небольших кредитных организаций. </w:t>
      </w:r>
      <w:proofErr w:type="gramStart"/>
      <w:r w:rsidR="00320F5B" w:rsidRPr="005F1178">
        <w:rPr>
          <w:rFonts w:ascii="Times New Roman" w:hAnsi="Times New Roman" w:cs="Times New Roman"/>
          <w:sz w:val="24"/>
          <w:szCs w:val="24"/>
        </w:rPr>
        <w:t>Последние</w:t>
      </w:r>
      <w:proofErr w:type="gramEnd"/>
      <w:r w:rsidR="00320F5B" w:rsidRPr="005F1178">
        <w:rPr>
          <w:rFonts w:ascii="Times New Roman" w:hAnsi="Times New Roman" w:cs="Times New Roman"/>
          <w:sz w:val="24"/>
          <w:szCs w:val="24"/>
        </w:rPr>
        <w:t xml:space="preserve"> фактически всегда использовали комплексный подход, который просто не был оформлен на бумаге.</w:t>
      </w:r>
    </w:p>
    <w:p w:rsidR="00336113" w:rsidRPr="005F1178" w:rsidRDefault="007065A8" w:rsidP="003E4727">
      <w:pPr>
        <w:spacing w:after="120"/>
        <w:jc w:val="both"/>
        <w:rPr>
          <w:rFonts w:ascii="Times New Roman" w:hAnsi="Times New Roman" w:cs="Times New Roman"/>
          <w:sz w:val="24"/>
          <w:szCs w:val="24"/>
        </w:rPr>
      </w:pPr>
      <w:r w:rsidRPr="005F1178">
        <w:rPr>
          <w:rFonts w:ascii="Times New Roman" w:hAnsi="Times New Roman" w:cs="Times New Roman"/>
          <w:b/>
          <w:sz w:val="24"/>
          <w:szCs w:val="24"/>
        </w:rPr>
        <w:t>По прогнозу «Эксперт</w:t>
      </w:r>
      <w:r w:rsidR="00BC3EAC">
        <w:rPr>
          <w:rFonts w:ascii="Times New Roman" w:hAnsi="Times New Roman" w:cs="Times New Roman"/>
          <w:b/>
          <w:sz w:val="24"/>
          <w:szCs w:val="24"/>
        </w:rPr>
        <w:t>а</w:t>
      </w:r>
      <w:r w:rsidRPr="005F1178">
        <w:rPr>
          <w:rFonts w:ascii="Times New Roman" w:hAnsi="Times New Roman" w:cs="Times New Roman"/>
          <w:b/>
          <w:sz w:val="24"/>
          <w:szCs w:val="24"/>
        </w:rPr>
        <w:t xml:space="preserve"> РА», п</w:t>
      </w:r>
      <w:r w:rsidR="00224595" w:rsidRPr="005F1178">
        <w:rPr>
          <w:rFonts w:ascii="Times New Roman" w:hAnsi="Times New Roman" w:cs="Times New Roman"/>
          <w:b/>
          <w:sz w:val="24"/>
          <w:szCs w:val="24"/>
        </w:rPr>
        <w:t>о итогам 2013 года портфель кредитов МСБ вырастет на 1</w:t>
      </w:r>
      <w:r w:rsidR="00A038CE" w:rsidRPr="005F1178">
        <w:rPr>
          <w:rFonts w:ascii="Times New Roman" w:hAnsi="Times New Roman" w:cs="Times New Roman"/>
          <w:b/>
          <w:sz w:val="24"/>
          <w:szCs w:val="24"/>
        </w:rPr>
        <w:t>5-17</w:t>
      </w:r>
      <w:r w:rsidR="00224595" w:rsidRPr="005F1178">
        <w:rPr>
          <w:rFonts w:ascii="Times New Roman" w:hAnsi="Times New Roman" w:cs="Times New Roman"/>
          <w:b/>
          <w:sz w:val="24"/>
          <w:szCs w:val="24"/>
        </w:rPr>
        <w:t>%.</w:t>
      </w:r>
      <w:r w:rsidR="00CF09CE" w:rsidRPr="005F1178">
        <w:rPr>
          <w:rFonts w:ascii="Times New Roman" w:hAnsi="Times New Roman" w:cs="Times New Roman"/>
          <w:sz w:val="24"/>
          <w:szCs w:val="24"/>
        </w:rPr>
        <w:t xml:space="preserve"> </w:t>
      </w:r>
      <w:r w:rsidRPr="005F1178">
        <w:rPr>
          <w:rFonts w:ascii="Times New Roman" w:hAnsi="Times New Roman" w:cs="Times New Roman"/>
          <w:sz w:val="24"/>
          <w:szCs w:val="24"/>
        </w:rPr>
        <w:t>Повышение регулятивных требований к резер</w:t>
      </w:r>
      <w:r w:rsidR="003E406F" w:rsidRPr="005F1178">
        <w:rPr>
          <w:rFonts w:ascii="Times New Roman" w:hAnsi="Times New Roman" w:cs="Times New Roman"/>
          <w:sz w:val="24"/>
          <w:szCs w:val="24"/>
        </w:rPr>
        <w:t>вированию по розничным кредитам</w:t>
      </w:r>
      <w:r w:rsidR="0029772E" w:rsidRPr="005F1178">
        <w:rPr>
          <w:rFonts w:ascii="Times New Roman" w:hAnsi="Times New Roman" w:cs="Times New Roman"/>
          <w:sz w:val="24"/>
          <w:szCs w:val="24"/>
        </w:rPr>
        <w:t xml:space="preserve"> </w:t>
      </w:r>
      <w:r w:rsidRPr="005F1178">
        <w:rPr>
          <w:rFonts w:ascii="Times New Roman" w:hAnsi="Times New Roman" w:cs="Times New Roman"/>
          <w:sz w:val="24"/>
          <w:szCs w:val="24"/>
        </w:rPr>
        <w:t xml:space="preserve">будет стимулировать банки к более активному </w:t>
      </w:r>
      <w:r w:rsidR="00774848" w:rsidRPr="005F1178">
        <w:rPr>
          <w:rFonts w:ascii="Times New Roman" w:hAnsi="Times New Roman" w:cs="Times New Roman"/>
          <w:sz w:val="24"/>
          <w:szCs w:val="24"/>
        </w:rPr>
        <w:t>расширению</w:t>
      </w:r>
      <w:r w:rsidRPr="005F1178">
        <w:rPr>
          <w:rFonts w:ascii="Times New Roman" w:hAnsi="Times New Roman" w:cs="Times New Roman"/>
          <w:sz w:val="24"/>
          <w:szCs w:val="24"/>
        </w:rPr>
        <w:t xml:space="preserve"> кредитования малого бизнеса за счет кредитных фабрик</w:t>
      </w:r>
      <w:r w:rsidR="0029772E" w:rsidRPr="005F1178">
        <w:rPr>
          <w:rFonts w:ascii="Times New Roman" w:hAnsi="Times New Roman" w:cs="Times New Roman"/>
          <w:sz w:val="24"/>
          <w:szCs w:val="24"/>
        </w:rPr>
        <w:t xml:space="preserve"> и</w:t>
      </w:r>
      <w:r w:rsidR="00F143A7" w:rsidRPr="005F1178">
        <w:rPr>
          <w:rFonts w:ascii="Times New Roman" w:hAnsi="Times New Roman" w:cs="Times New Roman"/>
          <w:sz w:val="24"/>
          <w:szCs w:val="24"/>
        </w:rPr>
        <w:t xml:space="preserve"> работы с МСБ по комплексным тарифам</w:t>
      </w:r>
      <w:r w:rsidRPr="005F1178">
        <w:rPr>
          <w:rFonts w:ascii="Times New Roman" w:hAnsi="Times New Roman" w:cs="Times New Roman"/>
          <w:sz w:val="24"/>
          <w:szCs w:val="24"/>
        </w:rPr>
        <w:t>.</w:t>
      </w:r>
      <w:r w:rsidR="00A700E3" w:rsidRPr="005F1178">
        <w:rPr>
          <w:rFonts w:ascii="Times New Roman" w:hAnsi="Times New Roman" w:cs="Times New Roman"/>
          <w:sz w:val="24"/>
          <w:szCs w:val="24"/>
        </w:rPr>
        <w:t xml:space="preserve"> </w:t>
      </w:r>
      <w:r w:rsidR="0029772E" w:rsidRPr="005F1178">
        <w:rPr>
          <w:rFonts w:ascii="Times New Roman" w:hAnsi="Times New Roman" w:cs="Times New Roman"/>
          <w:sz w:val="24"/>
          <w:szCs w:val="24"/>
        </w:rPr>
        <w:lastRenderedPageBreak/>
        <w:t>Кредитование среднего бизнеса будет постепенно набирать обороты по мере увеличения числа предприятий с кредитными рейтингами</w:t>
      </w:r>
      <w:r w:rsidR="00F143A7" w:rsidRPr="005F1178">
        <w:rPr>
          <w:rFonts w:ascii="Times New Roman" w:hAnsi="Times New Roman" w:cs="Times New Roman"/>
          <w:sz w:val="24"/>
          <w:szCs w:val="24"/>
        </w:rPr>
        <w:t xml:space="preserve"> (учитываются рейтинги </w:t>
      </w:r>
      <w:r w:rsidR="005F1178" w:rsidRPr="005F1178">
        <w:rPr>
          <w:rFonts w:ascii="Times New Roman" w:hAnsi="Times New Roman" w:cs="Times New Roman"/>
          <w:sz w:val="24"/>
          <w:szCs w:val="24"/>
        </w:rPr>
        <w:t>«</w:t>
      </w:r>
      <w:r w:rsidR="00F143A7" w:rsidRPr="005F1178">
        <w:rPr>
          <w:rFonts w:ascii="Times New Roman" w:hAnsi="Times New Roman" w:cs="Times New Roman"/>
          <w:sz w:val="24"/>
          <w:szCs w:val="24"/>
        </w:rPr>
        <w:t>А</w:t>
      </w:r>
      <w:r w:rsidR="005F1178" w:rsidRPr="005F1178">
        <w:rPr>
          <w:rFonts w:ascii="Times New Roman" w:hAnsi="Times New Roman" w:cs="Times New Roman"/>
          <w:sz w:val="24"/>
          <w:szCs w:val="24"/>
        </w:rPr>
        <w:t>» и выше</w:t>
      </w:r>
      <w:r w:rsidR="00F143A7" w:rsidRPr="005F1178">
        <w:rPr>
          <w:rFonts w:ascii="Times New Roman" w:hAnsi="Times New Roman" w:cs="Times New Roman"/>
          <w:sz w:val="24"/>
          <w:szCs w:val="24"/>
        </w:rPr>
        <w:t xml:space="preserve"> по шкале «Эксперт</w:t>
      </w:r>
      <w:r w:rsidR="00BC3EAC">
        <w:rPr>
          <w:rFonts w:ascii="Times New Roman" w:hAnsi="Times New Roman" w:cs="Times New Roman"/>
          <w:sz w:val="24"/>
          <w:szCs w:val="24"/>
        </w:rPr>
        <w:t>а</w:t>
      </w:r>
      <w:r w:rsidR="00F143A7" w:rsidRPr="005F1178">
        <w:rPr>
          <w:rFonts w:ascii="Times New Roman" w:hAnsi="Times New Roman" w:cs="Times New Roman"/>
          <w:sz w:val="24"/>
          <w:szCs w:val="24"/>
        </w:rPr>
        <w:t xml:space="preserve"> РА»)</w:t>
      </w:r>
      <w:r w:rsidR="0029772E" w:rsidRPr="005F1178">
        <w:rPr>
          <w:rFonts w:ascii="Times New Roman" w:hAnsi="Times New Roman" w:cs="Times New Roman"/>
          <w:sz w:val="24"/>
          <w:szCs w:val="24"/>
        </w:rPr>
        <w:t xml:space="preserve">. </w:t>
      </w:r>
      <w:r w:rsidR="00A700E3" w:rsidRPr="005F1178">
        <w:rPr>
          <w:rFonts w:ascii="Times New Roman" w:hAnsi="Times New Roman" w:cs="Times New Roman"/>
          <w:sz w:val="24"/>
          <w:szCs w:val="24"/>
        </w:rPr>
        <w:t>Привлекательность кредитования крупного бизнеса по сравнению с МСБ снизится из-за ожидаемого ухудшения динамики инвестиций в основной капитал</w:t>
      </w:r>
      <w:r w:rsidR="003816C5" w:rsidRPr="005F1178">
        <w:rPr>
          <w:rFonts w:ascii="Times New Roman" w:hAnsi="Times New Roman" w:cs="Times New Roman"/>
          <w:sz w:val="24"/>
          <w:szCs w:val="24"/>
        </w:rPr>
        <w:t xml:space="preserve"> и спада промышленного производства</w:t>
      </w:r>
      <w:r w:rsidR="00A700E3" w:rsidRPr="005F1178">
        <w:rPr>
          <w:rFonts w:ascii="Times New Roman" w:hAnsi="Times New Roman" w:cs="Times New Roman"/>
          <w:sz w:val="24"/>
          <w:szCs w:val="24"/>
        </w:rPr>
        <w:t xml:space="preserve">. </w:t>
      </w:r>
      <w:r w:rsidR="003B10CC" w:rsidRPr="005F1178">
        <w:rPr>
          <w:rFonts w:ascii="Times New Roman" w:hAnsi="Times New Roman" w:cs="Times New Roman"/>
          <w:sz w:val="24"/>
          <w:szCs w:val="24"/>
        </w:rPr>
        <w:t xml:space="preserve">Однако ускорения динамики кредитования МСБ не будет: организация кредитной фабрики требует от банков значительных </w:t>
      </w:r>
      <w:r w:rsidR="008D177B" w:rsidRPr="005F1178">
        <w:rPr>
          <w:rFonts w:ascii="Times New Roman" w:hAnsi="Times New Roman" w:cs="Times New Roman"/>
          <w:sz w:val="24"/>
          <w:szCs w:val="24"/>
        </w:rPr>
        <w:t>инвестиций</w:t>
      </w:r>
      <w:r w:rsidR="003B10CC" w:rsidRPr="005F1178">
        <w:rPr>
          <w:rFonts w:ascii="Times New Roman" w:hAnsi="Times New Roman" w:cs="Times New Roman"/>
          <w:sz w:val="24"/>
          <w:szCs w:val="24"/>
        </w:rPr>
        <w:t xml:space="preserve">, а масштабы господдержки все еще не превышают 5% рынка. </w:t>
      </w:r>
    </w:p>
    <w:p w:rsidR="00336113" w:rsidRPr="005F1178" w:rsidRDefault="00336113" w:rsidP="00336113">
      <w:pPr>
        <w:spacing w:after="120"/>
        <w:jc w:val="both"/>
        <w:rPr>
          <w:rFonts w:ascii="Times New Roman" w:hAnsi="Times New Roman" w:cs="Times New Roman"/>
          <w:b/>
          <w:sz w:val="24"/>
          <w:szCs w:val="24"/>
        </w:rPr>
      </w:pPr>
      <w:r w:rsidRPr="005F1178">
        <w:rPr>
          <w:rFonts w:ascii="Times New Roman" w:hAnsi="Times New Roman" w:cs="Times New Roman"/>
          <w:b/>
          <w:sz w:val="24"/>
          <w:szCs w:val="24"/>
        </w:rPr>
        <w:t xml:space="preserve">Меры господдержки не окажут заметного влияния </w:t>
      </w:r>
      <w:r w:rsidR="003816C5" w:rsidRPr="005F1178">
        <w:rPr>
          <w:rFonts w:ascii="Times New Roman" w:hAnsi="Times New Roman" w:cs="Times New Roman"/>
          <w:b/>
          <w:sz w:val="24"/>
          <w:szCs w:val="24"/>
        </w:rPr>
        <w:t xml:space="preserve">на масштабы и динамику рынка </w:t>
      </w:r>
      <w:r w:rsidRPr="005F1178">
        <w:rPr>
          <w:rFonts w:ascii="Times New Roman" w:hAnsi="Times New Roman" w:cs="Times New Roman"/>
          <w:b/>
          <w:sz w:val="24"/>
          <w:szCs w:val="24"/>
        </w:rPr>
        <w:t>– потенциал их экстенсивного развития близок к насыщению.</w:t>
      </w:r>
      <w:r w:rsidR="009529FC" w:rsidRPr="005F1178">
        <w:rPr>
          <w:rFonts w:ascii="Times New Roman" w:hAnsi="Times New Roman" w:cs="Times New Roman"/>
          <w:b/>
          <w:sz w:val="24"/>
          <w:szCs w:val="24"/>
        </w:rPr>
        <w:t xml:space="preserve"> </w:t>
      </w:r>
      <w:r w:rsidR="009529FC" w:rsidRPr="005F1178">
        <w:rPr>
          <w:rFonts w:ascii="Times New Roman" w:hAnsi="Times New Roman" w:cs="Times New Roman"/>
          <w:sz w:val="24"/>
          <w:szCs w:val="24"/>
        </w:rPr>
        <w:t>МФО</w:t>
      </w:r>
      <w:r w:rsidR="003816C5" w:rsidRPr="005F1178">
        <w:rPr>
          <w:rFonts w:ascii="Times New Roman" w:hAnsi="Times New Roman" w:cs="Times New Roman"/>
          <w:sz w:val="24"/>
          <w:szCs w:val="24"/>
        </w:rPr>
        <w:t xml:space="preserve"> с </w:t>
      </w:r>
      <w:proofErr w:type="spellStart"/>
      <w:r w:rsidR="003816C5" w:rsidRPr="005F1178">
        <w:rPr>
          <w:rFonts w:ascii="Times New Roman" w:hAnsi="Times New Roman" w:cs="Times New Roman"/>
          <w:sz w:val="24"/>
          <w:szCs w:val="24"/>
        </w:rPr>
        <w:t>госучастием</w:t>
      </w:r>
      <w:proofErr w:type="spellEnd"/>
      <w:r w:rsidR="009529FC" w:rsidRPr="005F1178">
        <w:rPr>
          <w:rFonts w:ascii="Times New Roman" w:hAnsi="Times New Roman" w:cs="Times New Roman"/>
          <w:sz w:val="24"/>
          <w:szCs w:val="24"/>
        </w:rPr>
        <w:t xml:space="preserve"> столкнулись с насыщением своего основного рынка</w:t>
      </w:r>
      <w:r w:rsidR="003816C5" w:rsidRPr="005F1178">
        <w:rPr>
          <w:rFonts w:ascii="Times New Roman" w:hAnsi="Times New Roman" w:cs="Times New Roman"/>
          <w:sz w:val="24"/>
          <w:szCs w:val="24"/>
        </w:rPr>
        <w:t>:</w:t>
      </w:r>
      <w:r w:rsidR="009529FC" w:rsidRPr="005F1178">
        <w:rPr>
          <w:rFonts w:ascii="Times New Roman" w:hAnsi="Times New Roman" w:cs="Times New Roman"/>
          <w:sz w:val="24"/>
          <w:szCs w:val="24"/>
        </w:rPr>
        <w:t xml:space="preserve"> пул </w:t>
      </w:r>
      <w:proofErr w:type="spellStart"/>
      <w:r w:rsidR="009529FC" w:rsidRPr="005F1178">
        <w:rPr>
          <w:rFonts w:ascii="Times New Roman" w:hAnsi="Times New Roman" w:cs="Times New Roman"/>
          <w:sz w:val="24"/>
          <w:szCs w:val="24"/>
        </w:rPr>
        <w:t>низкорискованных</w:t>
      </w:r>
      <w:proofErr w:type="spellEnd"/>
      <w:r w:rsidR="009529FC" w:rsidRPr="005F1178">
        <w:rPr>
          <w:rFonts w:ascii="Times New Roman" w:hAnsi="Times New Roman" w:cs="Times New Roman"/>
          <w:sz w:val="24"/>
          <w:szCs w:val="24"/>
        </w:rPr>
        <w:t xml:space="preserve"> заемщиков </w:t>
      </w:r>
      <w:r w:rsidR="003816C5" w:rsidRPr="005F1178">
        <w:rPr>
          <w:rFonts w:ascii="Times New Roman" w:hAnsi="Times New Roman" w:cs="Times New Roman"/>
          <w:sz w:val="24"/>
          <w:szCs w:val="24"/>
        </w:rPr>
        <w:t xml:space="preserve">в регионах </w:t>
      </w:r>
      <w:r w:rsidR="009529FC" w:rsidRPr="005F1178">
        <w:rPr>
          <w:rFonts w:ascii="Times New Roman" w:hAnsi="Times New Roman" w:cs="Times New Roman"/>
          <w:sz w:val="24"/>
          <w:szCs w:val="24"/>
        </w:rPr>
        <w:t>п</w:t>
      </w:r>
      <w:r w:rsidR="00A47F70" w:rsidRPr="005F1178">
        <w:rPr>
          <w:rFonts w:ascii="Times New Roman" w:hAnsi="Times New Roman" w:cs="Times New Roman"/>
          <w:sz w:val="24"/>
          <w:szCs w:val="24"/>
        </w:rPr>
        <w:t>рактически исчерпан. Гарантийные фонды, работающие в регионах со слабо развитой инфраструктурой, поставлены перед дилеммой: либо снижать диверсификацию портфелей поручительств</w:t>
      </w:r>
      <w:r w:rsidR="005511A9" w:rsidRPr="005F1178">
        <w:rPr>
          <w:rFonts w:ascii="Times New Roman" w:hAnsi="Times New Roman" w:cs="Times New Roman"/>
          <w:sz w:val="24"/>
          <w:szCs w:val="24"/>
        </w:rPr>
        <w:t xml:space="preserve"> за счет работы с узким кругом банков</w:t>
      </w:r>
      <w:r w:rsidR="00A47F70" w:rsidRPr="005F1178">
        <w:rPr>
          <w:rFonts w:ascii="Times New Roman" w:hAnsi="Times New Roman" w:cs="Times New Roman"/>
          <w:sz w:val="24"/>
          <w:szCs w:val="24"/>
        </w:rPr>
        <w:t>, либо сворачивать программы.</w:t>
      </w:r>
      <w:r w:rsidR="009529FC" w:rsidRPr="005F1178">
        <w:rPr>
          <w:rFonts w:ascii="Times New Roman" w:hAnsi="Times New Roman" w:cs="Times New Roman"/>
          <w:sz w:val="24"/>
          <w:szCs w:val="24"/>
        </w:rPr>
        <w:t xml:space="preserve"> </w:t>
      </w:r>
      <w:r w:rsidR="003816C5" w:rsidRPr="005F1178">
        <w:rPr>
          <w:rFonts w:ascii="Times New Roman" w:hAnsi="Times New Roman" w:cs="Times New Roman"/>
          <w:sz w:val="24"/>
          <w:szCs w:val="24"/>
        </w:rPr>
        <w:t>Самая масштабная программа поддержки, реализуемая МСП Банком, ориентирована на производственный сектор и инновационные производства</w:t>
      </w:r>
      <w:r w:rsidR="0029772E" w:rsidRPr="005F1178">
        <w:rPr>
          <w:rFonts w:ascii="Times New Roman" w:hAnsi="Times New Roman" w:cs="Times New Roman"/>
          <w:sz w:val="24"/>
          <w:szCs w:val="24"/>
        </w:rPr>
        <w:t xml:space="preserve">, тогда как подавляющее большинство предприятий малого бизнеса сосредоточено в торговле и сфере услуг. </w:t>
      </w:r>
    </w:p>
    <w:p w:rsidR="00B764A6" w:rsidRPr="005F1178" w:rsidRDefault="00784AB5" w:rsidP="003E4727">
      <w:pPr>
        <w:spacing w:after="120"/>
        <w:jc w:val="both"/>
        <w:rPr>
          <w:rFonts w:ascii="Times New Roman" w:hAnsi="Times New Roman" w:cs="Times New Roman"/>
          <w:sz w:val="24"/>
          <w:szCs w:val="24"/>
        </w:rPr>
      </w:pPr>
      <w:r w:rsidRPr="005F1178">
        <w:rPr>
          <w:b/>
          <w:i/>
        </w:rPr>
        <w:br w:type="page"/>
      </w:r>
    </w:p>
    <w:p w:rsidR="00B764A6" w:rsidRPr="005F1178" w:rsidRDefault="00B764A6" w:rsidP="00B764A6">
      <w:pPr>
        <w:pStyle w:val="1"/>
      </w:pPr>
      <w:bookmarkStart w:id="3" w:name="_Toc352162045"/>
      <w:r w:rsidRPr="005F1178">
        <w:lastRenderedPageBreak/>
        <w:t>Методика исследования</w:t>
      </w:r>
      <w:bookmarkEnd w:id="3"/>
    </w:p>
    <w:p w:rsidR="00B764A6" w:rsidRPr="005F1178" w:rsidRDefault="00B764A6" w:rsidP="00B764A6"/>
    <w:p w:rsidR="00B764A6" w:rsidRPr="005F1178" w:rsidRDefault="00B764A6" w:rsidP="00B764A6">
      <w:pPr>
        <w:jc w:val="both"/>
        <w:rPr>
          <w:rFonts w:ascii="Times New Roman" w:hAnsi="Times New Roman" w:cs="Times New Roman"/>
          <w:sz w:val="24"/>
          <w:szCs w:val="24"/>
        </w:rPr>
      </w:pPr>
      <w:r w:rsidRPr="005F1178">
        <w:rPr>
          <w:rFonts w:ascii="Times New Roman" w:hAnsi="Times New Roman" w:cs="Times New Roman"/>
          <w:sz w:val="24"/>
          <w:szCs w:val="24"/>
        </w:rPr>
        <w:t>Исследование «Эксперта РА» основано на результатах анкетирования банков, а также проведения серии углубленных интервью с представителями рынка кредитования малого и среднего бизнеса.</w:t>
      </w:r>
    </w:p>
    <w:p w:rsidR="00B764A6" w:rsidRPr="005F1178" w:rsidRDefault="00B764A6" w:rsidP="00B764A6">
      <w:pPr>
        <w:ind w:firstLine="709"/>
        <w:jc w:val="both"/>
        <w:rPr>
          <w:rFonts w:ascii="Times New Roman" w:hAnsi="Times New Roman" w:cs="Times New Roman"/>
          <w:sz w:val="24"/>
          <w:szCs w:val="24"/>
        </w:rPr>
      </w:pPr>
      <w:r w:rsidRPr="005F1178">
        <w:rPr>
          <w:rFonts w:ascii="Times New Roman" w:hAnsi="Times New Roman" w:cs="Times New Roman"/>
          <w:sz w:val="24"/>
          <w:szCs w:val="24"/>
        </w:rPr>
        <w:t xml:space="preserve">Следует сделать особую оговорку, связанную с </w:t>
      </w:r>
      <w:r w:rsidRPr="005F1178">
        <w:rPr>
          <w:rFonts w:ascii="Times New Roman" w:hAnsi="Times New Roman" w:cs="Times New Roman"/>
          <w:b/>
          <w:sz w:val="24"/>
          <w:szCs w:val="24"/>
        </w:rPr>
        <w:t>критериями отнесения предприятий к малому и среднему бизнесу.</w:t>
      </w:r>
      <w:r w:rsidRPr="005F1178">
        <w:rPr>
          <w:rFonts w:ascii="Times New Roman" w:hAnsi="Times New Roman" w:cs="Times New Roman"/>
          <w:sz w:val="24"/>
          <w:szCs w:val="24"/>
        </w:rPr>
        <w:t xml:space="preserve"> Согласно Федеральному закону «О развитии малого и среднего предпринимательства в Российской Федерации», к малому бизнесу относятся предприятия с численностью сотрудников до 100 человек (также выделяются </w:t>
      </w:r>
      <w:proofErr w:type="spellStart"/>
      <w:r w:rsidRPr="005F1178">
        <w:rPr>
          <w:rFonts w:ascii="Times New Roman" w:hAnsi="Times New Roman" w:cs="Times New Roman"/>
          <w:sz w:val="24"/>
          <w:szCs w:val="24"/>
        </w:rPr>
        <w:t>микропредприятия</w:t>
      </w:r>
      <w:proofErr w:type="spellEnd"/>
      <w:r w:rsidRPr="005F1178">
        <w:rPr>
          <w:rFonts w:ascii="Times New Roman" w:hAnsi="Times New Roman" w:cs="Times New Roman"/>
          <w:sz w:val="24"/>
          <w:szCs w:val="24"/>
        </w:rPr>
        <w:t xml:space="preserve"> – до 15 человек), к среднему – с численностью от 100 до 250 человек. Постановлением Правительства Российской Федерации от 22 июля 2008 года №</w:t>
      </w:r>
      <w:r w:rsidR="00A16048">
        <w:rPr>
          <w:rFonts w:ascii="Times New Roman" w:hAnsi="Times New Roman" w:cs="Times New Roman"/>
          <w:sz w:val="24"/>
          <w:szCs w:val="24"/>
        </w:rPr>
        <w:t xml:space="preserve"> </w:t>
      </w:r>
      <w:r w:rsidRPr="005F1178">
        <w:rPr>
          <w:rFonts w:ascii="Times New Roman" w:hAnsi="Times New Roman" w:cs="Times New Roman"/>
          <w:sz w:val="24"/>
          <w:szCs w:val="24"/>
        </w:rPr>
        <w:t>556 введены показатели предельной выручки (см. таблицу 1).</w:t>
      </w:r>
    </w:p>
    <w:p w:rsidR="00B764A6" w:rsidRPr="005F1178" w:rsidRDefault="00B764A6" w:rsidP="00B764A6">
      <w:pPr>
        <w:ind w:firstLine="709"/>
        <w:jc w:val="both"/>
        <w:rPr>
          <w:rFonts w:ascii="Times New Roman" w:hAnsi="Times New Roman" w:cs="Times New Roman"/>
          <w:sz w:val="24"/>
          <w:szCs w:val="24"/>
        </w:rPr>
      </w:pPr>
      <w:r w:rsidRPr="005F1178">
        <w:rPr>
          <w:rFonts w:ascii="Times New Roman" w:hAnsi="Times New Roman" w:cs="Times New Roman"/>
          <w:sz w:val="24"/>
          <w:szCs w:val="24"/>
        </w:rPr>
        <w:t>В рамках проведения анкетирования мы просили банки указывать данные по объему финансирования предприятий, соответствующих ФЗ «О развитии малого и среднего предпринимательства в Российской Федерации». Использовалась проверка предоставленных данных на основе расчета доли МСБ в ссудных портфелях и доли МСБ в оборотах по выдаче кредитов; дополнительно запрашивались бланки подтверждения, подписанные и заверенные представителями банков, курирующими соответствующее направление бизнеса.</w:t>
      </w:r>
      <w:r w:rsidR="00B07E61" w:rsidRPr="005F1178">
        <w:rPr>
          <w:rFonts w:ascii="Times New Roman" w:hAnsi="Times New Roman" w:cs="Times New Roman"/>
          <w:sz w:val="24"/>
          <w:szCs w:val="24"/>
        </w:rPr>
        <w:t xml:space="preserve"> Объемные показатели по рынку брались на основании статистики Банка России. </w:t>
      </w:r>
    </w:p>
    <w:p w:rsidR="00B764A6" w:rsidRPr="005F1178" w:rsidRDefault="00B764A6" w:rsidP="00B764A6">
      <w:pPr>
        <w:ind w:firstLine="709"/>
        <w:jc w:val="both"/>
        <w:rPr>
          <w:rFonts w:ascii="Times New Roman" w:hAnsi="Times New Roman" w:cs="Times New Roman"/>
          <w:sz w:val="24"/>
          <w:szCs w:val="24"/>
        </w:rPr>
      </w:pPr>
      <w:r w:rsidRPr="005F1178">
        <w:rPr>
          <w:rFonts w:ascii="Times New Roman" w:hAnsi="Times New Roman" w:cs="Times New Roman"/>
          <w:sz w:val="24"/>
          <w:szCs w:val="24"/>
        </w:rPr>
        <w:t xml:space="preserve">В исследовании приняли участие </w:t>
      </w:r>
      <w:r w:rsidR="00E85BD5" w:rsidRPr="00F2710E">
        <w:rPr>
          <w:rFonts w:ascii="Times New Roman" w:hAnsi="Times New Roman" w:cs="Times New Roman"/>
          <w:sz w:val="24"/>
          <w:szCs w:val="24"/>
        </w:rPr>
        <w:t>102</w:t>
      </w:r>
      <w:r w:rsidRPr="005F1178">
        <w:rPr>
          <w:rFonts w:ascii="Times New Roman" w:hAnsi="Times New Roman" w:cs="Times New Roman"/>
          <w:sz w:val="24"/>
          <w:szCs w:val="24"/>
        </w:rPr>
        <w:t xml:space="preserve"> банк</w:t>
      </w:r>
      <w:r w:rsidR="00A16048">
        <w:rPr>
          <w:rFonts w:ascii="Times New Roman" w:hAnsi="Times New Roman" w:cs="Times New Roman"/>
          <w:sz w:val="24"/>
          <w:szCs w:val="24"/>
        </w:rPr>
        <w:t>а</w:t>
      </w:r>
      <w:r w:rsidRPr="005F1178">
        <w:rPr>
          <w:rFonts w:ascii="Times New Roman" w:hAnsi="Times New Roman" w:cs="Times New Roman"/>
          <w:sz w:val="24"/>
          <w:szCs w:val="24"/>
        </w:rPr>
        <w:t xml:space="preserve">. По нашим оценкам, охват рынка составил порядка </w:t>
      </w:r>
      <w:r w:rsidR="003E406F" w:rsidRPr="005F1178">
        <w:rPr>
          <w:rFonts w:ascii="Times New Roman" w:hAnsi="Times New Roman" w:cs="Times New Roman"/>
          <w:sz w:val="24"/>
          <w:szCs w:val="24"/>
        </w:rPr>
        <w:t>65</w:t>
      </w:r>
      <w:r w:rsidRPr="005F1178">
        <w:rPr>
          <w:rFonts w:ascii="Times New Roman" w:hAnsi="Times New Roman" w:cs="Times New Roman"/>
          <w:sz w:val="24"/>
          <w:szCs w:val="24"/>
        </w:rPr>
        <w:t xml:space="preserve">%. </w:t>
      </w:r>
      <w:r w:rsidRPr="005F1178">
        <w:rPr>
          <w:rStyle w:val="a3"/>
          <w:rFonts w:ascii="Times New Roman" w:hAnsi="Times New Roman" w:cs="Times New Roman"/>
          <w:sz w:val="24"/>
          <w:szCs w:val="24"/>
        </w:rPr>
        <w:t/>
      </w:r>
      <w:r w:rsidRPr="005F1178">
        <w:rPr>
          <w:rFonts w:ascii="Times New Roman" w:hAnsi="Times New Roman" w:cs="Times New Roman"/>
          <w:sz w:val="24"/>
          <w:szCs w:val="24"/>
        </w:rPr>
        <w:t>При расчете объемных показателей нами были сделаны корректировки в соответствии с этой предпосылкой.</w:t>
      </w:r>
      <w:r w:rsidR="00A0279E" w:rsidRPr="005F1178">
        <w:rPr>
          <w:rFonts w:ascii="Times New Roman" w:hAnsi="Times New Roman" w:cs="Times New Roman"/>
          <w:sz w:val="24"/>
          <w:szCs w:val="24"/>
        </w:rPr>
        <w:t xml:space="preserve"> Из крупных игроков рынка в исследовании не участвовали РСХБ и ВТБ (по нашим оценкам, </w:t>
      </w:r>
      <w:r w:rsidR="00BC756C" w:rsidRPr="005F1178">
        <w:rPr>
          <w:rFonts w:ascii="Times New Roman" w:hAnsi="Times New Roman" w:cs="Times New Roman"/>
          <w:sz w:val="24"/>
          <w:szCs w:val="24"/>
        </w:rPr>
        <w:t>ВТБ</w:t>
      </w:r>
      <w:r w:rsidR="00A0279E" w:rsidRPr="005F1178">
        <w:rPr>
          <w:rFonts w:ascii="Times New Roman" w:hAnsi="Times New Roman" w:cs="Times New Roman"/>
          <w:sz w:val="24"/>
          <w:szCs w:val="24"/>
        </w:rPr>
        <w:t xml:space="preserve"> располагает значительным портфелем кредитов среднему бизнесу).</w:t>
      </w:r>
      <w:r w:rsidR="00BC756C" w:rsidRPr="005F1178">
        <w:rPr>
          <w:rFonts w:ascii="Times New Roman" w:hAnsi="Times New Roman" w:cs="Times New Roman"/>
          <w:sz w:val="24"/>
          <w:szCs w:val="24"/>
        </w:rPr>
        <w:t xml:space="preserve"> Если бы эти банки приняли участие, то, по нашим оценкам, они смогли бы войти в топ-10 кредитных организаций по размеру портфелей МСБ.</w:t>
      </w:r>
    </w:p>
    <w:p w:rsidR="00356A88" w:rsidRPr="005F1178" w:rsidRDefault="00356A88" w:rsidP="00B764A6">
      <w:pPr>
        <w:ind w:firstLine="709"/>
        <w:jc w:val="both"/>
        <w:rPr>
          <w:rFonts w:ascii="Times New Roman" w:hAnsi="Times New Roman" w:cs="Times New Roman"/>
          <w:sz w:val="24"/>
          <w:szCs w:val="24"/>
        </w:rPr>
      </w:pPr>
      <w:r w:rsidRPr="005F1178">
        <w:rPr>
          <w:rFonts w:ascii="Times New Roman" w:hAnsi="Times New Roman" w:cs="Times New Roman"/>
          <w:sz w:val="24"/>
          <w:szCs w:val="24"/>
        </w:rPr>
        <w:t xml:space="preserve">Проводилась проверка данных, предоставленных банкам, в частности на предмет отсутствия противоречий в анкете, также </w:t>
      </w:r>
      <w:r w:rsidR="00BC756C" w:rsidRPr="005F1178">
        <w:rPr>
          <w:rFonts w:ascii="Times New Roman" w:hAnsi="Times New Roman" w:cs="Times New Roman"/>
          <w:sz w:val="24"/>
          <w:szCs w:val="24"/>
        </w:rPr>
        <w:t xml:space="preserve">оценивалась доля </w:t>
      </w:r>
      <w:r w:rsidRPr="005F1178">
        <w:rPr>
          <w:rFonts w:ascii="Times New Roman" w:hAnsi="Times New Roman" w:cs="Times New Roman"/>
          <w:sz w:val="24"/>
          <w:szCs w:val="24"/>
        </w:rPr>
        <w:t>портфел</w:t>
      </w:r>
      <w:r w:rsidR="00BC756C" w:rsidRPr="005F1178">
        <w:rPr>
          <w:rFonts w:ascii="Times New Roman" w:hAnsi="Times New Roman" w:cs="Times New Roman"/>
          <w:sz w:val="24"/>
          <w:szCs w:val="24"/>
        </w:rPr>
        <w:t>я</w:t>
      </w:r>
      <w:r w:rsidRPr="005F1178">
        <w:rPr>
          <w:rFonts w:ascii="Times New Roman" w:hAnsi="Times New Roman" w:cs="Times New Roman"/>
          <w:sz w:val="24"/>
          <w:szCs w:val="24"/>
        </w:rPr>
        <w:t xml:space="preserve"> МСБ </w:t>
      </w:r>
      <w:r w:rsidR="00BC756C" w:rsidRPr="005F1178">
        <w:rPr>
          <w:rFonts w:ascii="Times New Roman" w:hAnsi="Times New Roman" w:cs="Times New Roman"/>
          <w:sz w:val="24"/>
          <w:szCs w:val="24"/>
        </w:rPr>
        <w:t>в</w:t>
      </w:r>
      <w:r w:rsidRPr="005F1178">
        <w:rPr>
          <w:rFonts w:ascii="Times New Roman" w:hAnsi="Times New Roman" w:cs="Times New Roman"/>
          <w:sz w:val="24"/>
          <w:szCs w:val="24"/>
        </w:rPr>
        <w:t xml:space="preserve"> портфел</w:t>
      </w:r>
      <w:r w:rsidR="00BC756C" w:rsidRPr="005F1178">
        <w:rPr>
          <w:rFonts w:ascii="Times New Roman" w:hAnsi="Times New Roman" w:cs="Times New Roman"/>
          <w:sz w:val="24"/>
          <w:szCs w:val="24"/>
        </w:rPr>
        <w:t>е</w:t>
      </w:r>
      <w:r w:rsidRPr="005F1178">
        <w:rPr>
          <w:rFonts w:ascii="Times New Roman" w:hAnsi="Times New Roman" w:cs="Times New Roman"/>
          <w:sz w:val="24"/>
          <w:szCs w:val="24"/>
        </w:rPr>
        <w:t xml:space="preserve"> ЮЛ и ИП.</w:t>
      </w:r>
      <w:r w:rsidR="00A0279E" w:rsidRPr="005F1178">
        <w:rPr>
          <w:rFonts w:ascii="Times New Roman" w:hAnsi="Times New Roman" w:cs="Times New Roman"/>
          <w:sz w:val="24"/>
          <w:szCs w:val="24"/>
        </w:rPr>
        <w:t xml:space="preserve"> </w:t>
      </w:r>
    </w:p>
    <w:p w:rsidR="00B764A6" w:rsidRPr="005F1178" w:rsidRDefault="00B764A6" w:rsidP="00B764A6">
      <w:pPr>
        <w:rPr>
          <w:b/>
        </w:rPr>
      </w:pPr>
      <w:r w:rsidRPr="005F1178">
        <w:rPr>
          <w:b/>
        </w:rPr>
        <w:t>Критерии отнесения хозяйствующего субъекта к МСБ</w:t>
      </w:r>
    </w:p>
    <w:tbl>
      <w:tblPr>
        <w:tblW w:w="8475"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675"/>
        <w:gridCol w:w="900"/>
        <w:gridCol w:w="900"/>
      </w:tblGrid>
      <w:tr w:rsidR="00B764A6" w:rsidRPr="005F1178" w:rsidTr="003B292E">
        <w:trPr>
          <w:trHeight w:val="255"/>
          <w:tblCellSpacing w:w="0" w:type="dxa"/>
          <w:jc w:val="center"/>
        </w:trPr>
        <w:tc>
          <w:tcPr>
            <w:tcW w:w="6675" w:type="dxa"/>
            <w:shd w:val="clear" w:color="auto" w:fill="FFCC66"/>
            <w:vAlign w:val="bottom"/>
          </w:tcPr>
          <w:p w:rsidR="00B764A6" w:rsidRPr="005F1178" w:rsidRDefault="00B764A6" w:rsidP="003B292E">
            <w:pPr>
              <w:ind w:firstLine="709"/>
            </w:pPr>
            <w:r w:rsidRPr="005F1178">
              <w:t> </w:t>
            </w:r>
          </w:p>
        </w:tc>
        <w:tc>
          <w:tcPr>
            <w:tcW w:w="900" w:type="dxa"/>
            <w:shd w:val="clear" w:color="auto" w:fill="FFCC66"/>
          </w:tcPr>
          <w:p w:rsidR="00B764A6" w:rsidRPr="005F1178" w:rsidRDefault="00B764A6" w:rsidP="003B292E">
            <w:pPr>
              <w:rPr>
                <w:b/>
                <w:bCs/>
              </w:rPr>
            </w:pPr>
            <w:r w:rsidRPr="005F1178">
              <w:rPr>
                <w:b/>
                <w:bCs/>
              </w:rPr>
              <w:t>РФ</w:t>
            </w:r>
          </w:p>
        </w:tc>
        <w:tc>
          <w:tcPr>
            <w:tcW w:w="900" w:type="dxa"/>
            <w:shd w:val="clear" w:color="auto" w:fill="FFCC66"/>
          </w:tcPr>
          <w:p w:rsidR="00B764A6" w:rsidRPr="005F1178" w:rsidRDefault="00B764A6" w:rsidP="003B292E">
            <w:pPr>
              <w:rPr>
                <w:b/>
                <w:bCs/>
              </w:rPr>
            </w:pPr>
            <w:r w:rsidRPr="005F1178">
              <w:rPr>
                <w:b/>
                <w:bCs/>
              </w:rPr>
              <w:t>ЕС</w:t>
            </w:r>
          </w:p>
        </w:tc>
      </w:tr>
      <w:tr w:rsidR="00B764A6" w:rsidRPr="005F1178" w:rsidTr="003B292E">
        <w:trPr>
          <w:trHeight w:val="255"/>
          <w:tblCellSpacing w:w="0" w:type="dxa"/>
          <w:jc w:val="center"/>
        </w:trPr>
        <w:tc>
          <w:tcPr>
            <w:tcW w:w="6675" w:type="dxa"/>
            <w:vAlign w:val="bottom"/>
          </w:tcPr>
          <w:p w:rsidR="00B764A6" w:rsidRPr="005F1178" w:rsidRDefault="00B764A6" w:rsidP="003B292E">
            <w:pPr>
              <w:rPr>
                <w:rFonts w:ascii="Times New Roman" w:hAnsi="Times New Roman" w:cs="Times New Roman"/>
              </w:rPr>
            </w:pPr>
            <w:r w:rsidRPr="005F1178">
              <w:rPr>
                <w:rFonts w:ascii="Times New Roman" w:hAnsi="Times New Roman" w:cs="Times New Roman"/>
              </w:rPr>
              <w:t xml:space="preserve">Максимальная годовая выручка малого бизнеса (далее – МБ), </w:t>
            </w:r>
            <w:proofErr w:type="gramStart"/>
            <w:r w:rsidRPr="005F1178">
              <w:rPr>
                <w:rFonts w:ascii="Times New Roman" w:hAnsi="Times New Roman" w:cs="Times New Roman"/>
              </w:rPr>
              <w:t>млн</w:t>
            </w:r>
            <w:proofErr w:type="gramEnd"/>
            <w:r w:rsidRPr="005F1178">
              <w:rPr>
                <w:rFonts w:ascii="Times New Roman" w:hAnsi="Times New Roman" w:cs="Times New Roman"/>
              </w:rPr>
              <w:t xml:space="preserve"> рублей</w:t>
            </w:r>
          </w:p>
        </w:tc>
        <w:tc>
          <w:tcPr>
            <w:tcW w:w="900" w:type="dxa"/>
          </w:tcPr>
          <w:p w:rsidR="00B764A6" w:rsidRPr="005F1178" w:rsidRDefault="00B764A6" w:rsidP="003B292E">
            <w:r w:rsidRPr="005F1178">
              <w:t>400</w:t>
            </w:r>
            <w:r w:rsidRPr="005F1178">
              <w:rPr>
                <w:vertAlign w:val="superscript"/>
              </w:rPr>
              <w:footnoteReference w:id="1"/>
            </w:r>
          </w:p>
        </w:tc>
        <w:tc>
          <w:tcPr>
            <w:tcW w:w="900" w:type="dxa"/>
          </w:tcPr>
          <w:p w:rsidR="00B764A6" w:rsidRPr="005F1178" w:rsidRDefault="00B764A6" w:rsidP="003B292E">
            <w:r w:rsidRPr="005F1178">
              <w:t>400</w:t>
            </w:r>
            <w:r w:rsidRPr="005F1178">
              <w:rPr>
                <w:vertAlign w:val="superscript"/>
              </w:rPr>
              <w:footnoteReference w:id="2"/>
            </w:r>
          </w:p>
        </w:tc>
      </w:tr>
      <w:tr w:rsidR="00B764A6" w:rsidRPr="005F1178" w:rsidTr="003B292E">
        <w:trPr>
          <w:trHeight w:val="255"/>
          <w:tblCellSpacing w:w="0" w:type="dxa"/>
          <w:jc w:val="center"/>
        </w:trPr>
        <w:tc>
          <w:tcPr>
            <w:tcW w:w="6675" w:type="dxa"/>
            <w:vAlign w:val="bottom"/>
          </w:tcPr>
          <w:p w:rsidR="00B764A6" w:rsidRPr="005F1178" w:rsidRDefault="00B764A6" w:rsidP="003B292E">
            <w:pPr>
              <w:rPr>
                <w:rFonts w:ascii="Times New Roman" w:hAnsi="Times New Roman" w:cs="Times New Roman"/>
              </w:rPr>
            </w:pPr>
            <w:r w:rsidRPr="005F1178">
              <w:rPr>
                <w:rFonts w:ascii="Times New Roman" w:hAnsi="Times New Roman" w:cs="Times New Roman"/>
              </w:rPr>
              <w:t>Максимальная численность персонала МБ, чел.</w:t>
            </w:r>
          </w:p>
        </w:tc>
        <w:tc>
          <w:tcPr>
            <w:tcW w:w="900" w:type="dxa"/>
          </w:tcPr>
          <w:p w:rsidR="00B764A6" w:rsidRPr="005F1178" w:rsidRDefault="00B764A6" w:rsidP="003B292E">
            <w:r w:rsidRPr="005F1178">
              <w:t>100</w:t>
            </w:r>
          </w:p>
        </w:tc>
        <w:tc>
          <w:tcPr>
            <w:tcW w:w="900" w:type="dxa"/>
          </w:tcPr>
          <w:p w:rsidR="00B764A6" w:rsidRPr="005F1178" w:rsidRDefault="00B764A6" w:rsidP="003B292E">
            <w:r w:rsidRPr="005F1178">
              <w:t>50</w:t>
            </w:r>
          </w:p>
        </w:tc>
      </w:tr>
      <w:tr w:rsidR="00B764A6" w:rsidRPr="005F1178" w:rsidTr="003B292E">
        <w:trPr>
          <w:trHeight w:val="255"/>
          <w:tblCellSpacing w:w="0" w:type="dxa"/>
          <w:jc w:val="center"/>
        </w:trPr>
        <w:tc>
          <w:tcPr>
            <w:tcW w:w="6675" w:type="dxa"/>
            <w:vAlign w:val="bottom"/>
          </w:tcPr>
          <w:p w:rsidR="00B764A6" w:rsidRPr="005F1178" w:rsidRDefault="00B764A6" w:rsidP="003B292E">
            <w:pPr>
              <w:rPr>
                <w:rFonts w:ascii="Times New Roman" w:hAnsi="Times New Roman" w:cs="Times New Roman"/>
              </w:rPr>
            </w:pPr>
            <w:r w:rsidRPr="005F1178">
              <w:rPr>
                <w:rFonts w:ascii="Times New Roman" w:hAnsi="Times New Roman" w:cs="Times New Roman"/>
              </w:rPr>
              <w:t xml:space="preserve">Максимальная годовая выручка среднего бизнеса (далее – </w:t>
            </w:r>
            <w:proofErr w:type="gramStart"/>
            <w:r w:rsidRPr="005F1178">
              <w:rPr>
                <w:rFonts w:ascii="Times New Roman" w:hAnsi="Times New Roman" w:cs="Times New Roman"/>
              </w:rPr>
              <w:t>СБ</w:t>
            </w:r>
            <w:proofErr w:type="gramEnd"/>
            <w:r w:rsidRPr="005F1178">
              <w:rPr>
                <w:rFonts w:ascii="Times New Roman" w:hAnsi="Times New Roman" w:cs="Times New Roman"/>
              </w:rPr>
              <w:t xml:space="preserve">), млн </w:t>
            </w:r>
            <w:r w:rsidRPr="005F1178">
              <w:rPr>
                <w:rFonts w:ascii="Times New Roman" w:hAnsi="Times New Roman" w:cs="Times New Roman"/>
              </w:rPr>
              <w:lastRenderedPageBreak/>
              <w:t>рублей</w:t>
            </w:r>
          </w:p>
        </w:tc>
        <w:tc>
          <w:tcPr>
            <w:tcW w:w="900" w:type="dxa"/>
          </w:tcPr>
          <w:p w:rsidR="00B764A6" w:rsidRPr="005F1178" w:rsidRDefault="00B764A6" w:rsidP="003B292E">
            <w:r w:rsidRPr="005F1178">
              <w:lastRenderedPageBreak/>
              <w:t>1 000</w:t>
            </w:r>
          </w:p>
        </w:tc>
        <w:tc>
          <w:tcPr>
            <w:tcW w:w="900" w:type="dxa"/>
          </w:tcPr>
          <w:p w:rsidR="00B764A6" w:rsidRPr="005F1178" w:rsidRDefault="00B764A6" w:rsidP="003B292E">
            <w:r w:rsidRPr="005F1178">
              <w:t>1 825</w:t>
            </w:r>
          </w:p>
        </w:tc>
      </w:tr>
      <w:tr w:rsidR="00B764A6" w:rsidRPr="005F1178" w:rsidTr="003B292E">
        <w:trPr>
          <w:trHeight w:val="255"/>
          <w:tblCellSpacing w:w="0" w:type="dxa"/>
          <w:jc w:val="center"/>
        </w:trPr>
        <w:tc>
          <w:tcPr>
            <w:tcW w:w="6675" w:type="dxa"/>
            <w:vAlign w:val="bottom"/>
          </w:tcPr>
          <w:p w:rsidR="00B764A6" w:rsidRPr="005F1178" w:rsidRDefault="00B764A6" w:rsidP="003B292E">
            <w:pPr>
              <w:rPr>
                <w:rFonts w:ascii="Times New Roman" w:hAnsi="Times New Roman" w:cs="Times New Roman"/>
              </w:rPr>
            </w:pPr>
            <w:r w:rsidRPr="005F1178">
              <w:rPr>
                <w:rFonts w:ascii="Times New Roman" w:hAnsi="Times New Roman" w:cs="Times New Roman"/>
              </w:rPr>
              <w:lastRenderedPageBreak/>
              <w:t xml:space="preserve">Максимальная численность персонала </w:t>
            </w:r>
            <w:proofErr w:type="gramStart"/>
            <w:r w:rsidRPr="005F1178">
              <w:rPr>
                <w:rFonts w:ascii="Times New Roman" w:hAnsi="Times New Roman" w:cs="Times New Roman"/>
              </w:rPr>
              <w:t>СБ</w:t>
            </w:r>
            <w:proofErr w:type="gramEnd"/>
            <w:r w:rsidRPr="005F1178">
              <w:rPr>
                <w:rFonts w:ascii="Times New Roman" w:hAnsi="Times New Roman" w:cs="Times New Roman"/>
              </w:rPr>
              <w:t>, чел.</w:t>
            </w:r>
          </w:p>
        </w:tc>
        <w:tc>
          <w:tcPr>
            <w:tcW w:w="900" w:type="dxa"/>
          </w:tcPr>
          <w:p w:rsidR="00B764A6" w:rsidRPr="005F1178" w:rsidRDefault="00B764A6" w:rsidP="003B292E">
            <w:r w:rsidRPr="005F1178">
              <w:t>250</w:t>
            </w:r>
          </w:p>
        </w:tc>
        <w:tc>
          <w:tcPr>
            <w:tcW w:w="900" w:type="dxa"/>
          </w:tcPr>
          <w:p w:rsidR="00B764A6" w:rsidRPr="005F1178" w:rsidRDefault="00B764A6" w:rsidP="003B292E">
            <w:r w:rsidRPr="005F1178">
              <w:t>250</w:t>
            </w:r>
          </w:p>
        </w:tc>
      </w:tr>
      <w:tr w:rsidR="00B764A6" w:rsidRPr="005F1178" w:rsidTr="003B292E">
        <w:trPr>
          <w:trHeight w:val="255"/>
          <w:tblCellSpacing w:w="0" w:type="dxa"/>
          <w:jc w:val="center"/>
        </w:trPr>
        <w:tc>
          <w:tcPr>
            <w:tcW w:w="6675" w:type="dxa"/>
            <w:vAlign w:val="bottom"/>
          </w:tcPr>
          <w:p w:rsidR="00B764A6" w:rsidRPr="005F1178" w:rsidRDefault="00B764A6" w:rsidP="003B292E">
            <w:pPr>
              <w:rPr>
                <w:rFonts w:ascii="Times New Roman" w:hAnsi="Times New Roman" w:cs="Times New Roman"/>
              </w:rPr>
            </w:pPr>
            <w:r w:rsidRPr="005F1178">
              <w:rPr>
                <w:rFonts w:ascii="Times New Roman" w:hAnsi="Times New Roman" w:cs="Times New Roman"/>
              </w:rPr>
              <w:t>Максимальная доля собственников МБ, не относящихся к МСБ, %</w:t>
            </w:r>
          </w:p>
        </w:tc>
        <w:tc>
          <w:tcPr>
            <w:tcW w:w="900" w:type="dxa"/>
            <w:vAlign w:val="center"/>
          </w:tcPr>
          <w:p w:rsidR="00B764A6" w:rsidRPr="005F1178" w:rsidRDefault="00B764A6" w:rsidP="003B292E">
            <w:pPr>
              <w:jc w:val="center"/>
            </w:pPr>
            <w:r w:rsidRPr="005F1178">
              <w:t>25</w:t>
            </w:r>
          </w:p>
        </w:tc>
        <w:tc>
          <w:tcPr>
            <w:tcW w:w="900" w:type="dxa"/>
            <w:vAlign w:val="center"/>
          </w:tcPr>
          <w:p w:rsidR="00B764A6" w:rsidRPr="005F1178" w:rsidRDefault="00B764A6" w:rsidP="003B292E">
            <w:pPr>
              <w:jc w:val="center"/>
            </w:pPr>
            <w:r w:rsidRPr="005F1178">
              <w:t>25</w:t>
            </w:r>
          </w:p>
        </w:tc>
      </w:tr>
    </w:tbl>
    <w:p w:rsidR="00B764A6" w:rsidRPr="005F1178" w:rsidRDefault="00B764A6" w:rsidP="00B764A6">
      <w:pPr>
        <w:jc w:val="right"/>
      </w:pPr>
      <w:r w:rsidRPr="005F1178">
        <w:rPr>
          <w:b/>
        </w:rPr>
        <w:t>Источник:</w:t>
      </w:r>
      <w:r w:rsidRPr="005F1178">
        <w:t xml:space="preserve"> «Эксперт РА»</w:t>
      </w:r>
    </w:p>
    <w:p w:rsidR="00330D46" w:rsidRPr="005F1178" w:rsidRDefault="00B764A6" w:rsidP="00330D46">
      <w:pPr>
        <w:spacing w:after="0" w:line="240" w:lineRule="auto"/>
        <w:jc w:val="both"/>
      </w:pPr>
      <w:r w:rsidRPr="005F1178">
        <w:t xml:space="preserve">В анкетировании приняли участие </w:t>
      </w:r>
      <w:r w:rsidR="006A2465" w:rsidRPr="005F1178">
        <w:rPr>
          <w:b/>
        </w:rPr>
        <w:t>102</w:t>
      </w:r>
      <w:r w:rsidRPr="005F1178">
        <w:rPr>
          <w:b/>
        </w:rPr>
        <w:t xml:space="preserve"> </w:t>
      </w:r>
      <w:proofErr w:type="gramStart"/>
      <w:r w:rsidRPr="005F1178">
        <w:rPr>
          <w:b/>
        </w:rPr>
        <w:t>российских</w:t>
      </w:r>
      <w:proofErr w:type="gramEnd"/>
      <w:r w:rsidRPr="005F1178">
        <w:rPr>
          <w:b/>
        </w:rPr>
        <w:t xml:space="preserve"> банк</w:t>
      </w:r>
      <w:r w:rsidR="00B07E61" w:rsidRPr="005F1178">
        <w:rPr>
          <w:b/>
        </w:rPr>
        <w:t>а</w:t>
      </w:r>
      <w:r w:rsidR="00330D46" w:rsidRPr="005F1178">
        <w:t>:</w:t>
      </w:r>
      <w:r w:rsidRPr="005F1178">
        <w:t xml:space="preserve"> </w:t>
      </w:r>
      <w:proofErr w:type="gramStart"/>
      <w:r w:rsidR="00330D46" w:rsidRPr="005F1178">
        <w:t xml:space="preserve">ОАО </w:t>
      </w:r>
      <w:r w:rsidR="00AB75D5">
        <w:t>«</w:t>
      </w:r>
      <w:r w:rsidR="00330D46" w:rsidRPr="005F1178">
        <w:t>Сбербанк России</w:t>
      </w:r>
      <w:r w:rsidR="00AB75D5">
        <w:t>»</w:t>
      </w:r>
      <w:r w:rsidR="00330D46" w:rsidRPr="005F1178">
        <w:t xml:space="preserve">; Промсвязьбанк; БАНК  УРАЛСИБ; ВТБ 24 (ЗАО); Банк </w:t>
      </w:r>
      <w:r w:rsidR="00495153">
        <w:t>«</w:t>
      </w:r>
      <w:r w:rsidR="00330D46" w:rsidRPr="005F1178">
        <w:t>Возрождение</w:t>
      </w:r>
      <w:r w:rsidR="00495153">
        <w:t>»</w:t>
      </w:r>
      <w:r w:rsidR="00330D46" w:rsidRPr="005F1178">
        <w:t xml:space="preserve"> (ОАО); ОАО </w:t>
      </w:r>
      <w:r w:rsidR="00495153">
        <w:t>«</w:t>
      </w:r>
      <w:r w:rsidR="00330D46" w:rsidRPr="005F1178">
        <w:t>Банк Москвы</w:t>
      </w:r>
      <w:r w:rsidR="00495153">
        <w:t>»</w:t>
      </w:r>
      <w:r w:rsidR="00330D46" w:rsidRPr="005F1178">
        <w:t xml:space="preserve">; ОАО </w:t>
      </w:r>
      <w:r w:rsidR="00495153">
        <w:t>«</w:t>
      </w:r>
      <w:proofErr w:type="spellStart"/>
      <w:r w:rsidR="00330D46" w:rsidRPr="005F1178">
        <w:t>МИнБ</w:t>
      </w:r>
      <w:proofErr w:type="spellEnd"/>
      <w:r w:rsidR="00495153">
        <w:t>»</w:t>
      </w:r>
      <w:r w:rsidR="00330D46" w:rsidRPr="005F1178">
        <w:t xml:space="preserve">; </w:t>
      </w:r>
      <w:proofErr w:type="spellStart"/>
      <w:r w:rsidR="00330D46" w:rsidRPr="005F1178">
        <w:t>Транскапиталбанк</w:t>
      </w:r>
      <w:proofErr w:type="spellEnd"/>
      <w:r w:rsidR="00330D46" w:rsidRPr="005F1178">
        <w:t xml:space="preserve">; АКБ </w:t>
      </w:r>
      <w:r w:rsidR="00495153">
        <w:t>«</w:t>
      </w:r>
      <w:proofErr w:type="spellStart"/>
      <w:r w:rsidR="00330D46" w:rsidRPr="005F1178">
        <w:t>Инвестторгбанк</w:t>
      </w:r>
      <w:proofErr w:type="spellEnd"/>
      <w:r w:rsidR="00495153">
        <w:t>»</w:t>
      </w:r>
      <w:r w:rsidR="00330D46" w:rsidRPr="005F1178">
        <w:t xml:space="preserve"> (ОАО); Банк </w:t>
      </w:r>
      <w:r w:rsidR="00495153">
        <w:t>«</w:t>
      </w:r>
      <w:r w:rsidR="00330D46" w:rsidRPr="005F1178">
        <w:t>Санкт-Петербург</w:t>
      </w:r>
      <w:r w:rsidR="00495153">
        <w:t>»</w:t>
      </w:r>
      <w:r w:rsidR="00330D46" w:rsidRPr="005F1178">
        <w:t xml:space="preserve">; </w:t>
      </w:r>
      <w:r w:rsidR="00495153">
        <w:t>«</w:t>
      </w:r>
      <w:r w:rsidR="00330D46" w:rsidRPr="005F1178">
        <w:t>Запсибкомбанк</w:t>
      </w:r>
      <w:r w:rsidR="00495153">
        <w:t>»</w:t>
      </w:r>
      <w:r w:rsidR="00330D46" w:rsidRPr="005F1178">
        <w:t xml:space="preserve"> ОАО; </w:t>
      </w:r>
      <w:r w:rsidR="006A2465" w:rsidRPr="005F1178">
        <w:t xml:space="preserve">Ханты-Мансийский Банк; НОМОС-РЕГИОБАНК; НОМОС-БАНК-Сибирь; Новосибирский Муниципальный банк; </w:t>
      </w:r>
      <w:r w:rsidR="00330D46" w:rsidRPr="005F1178">
        <w:t xml:space="preserve">ОАО </w:t>
      </w:r>
      <w:r w:rsidR="00495153">
        <w:t>«</w:t>
      </w:r>
      <w:r w:rsidR="00330D46" w:rsidRPr="005F1178">
        <w:t xml:space="preserve"> АК БАРС</w:t>
      </w:r>
      <w:r w:rsidR="00495153">
        <w:t>»</w:t>
      </w:r>
      <w:r w:rsidR="00330D46" w:rsidRPr="005F1178">
        <w:t xml:space="preserve"> БАНК; ЗАО </w:t>
      </w:r>
      <w:r w:rsidR="00495153">
        <w:t>«</w:t>
      </w:r>
      <w:r w:rsidR="00330D46" w:rsidRPr="005F1178">
        <w:t>ГЛОБЭКСБАНК</w:t>
      </w:r>
      <w:r w:rsidR="00495153">
        <w:t>»</w:t>
      </w:r>
      <w:r w:rsidR="00330D46" w:rsidRPr="005F1178">
        <w:t xml:space="preserve">; ОАО АКБ РОСБАНК; ОАО КБ </w:t>
      </w:r>
      <w:r w:rsidR="00495153">
        <w:t>«</w:t>
      </w:r>
      <w:r w:rsidR="00330D46" w:rsidRPr="005F1178">
        <w:t>Центр-</w:t>
      </w:r>
      <w:proofErr w:type="spellStart"/>
      <w:r w:rsidR="00330D46" w:rsidRPr="005F1178">
        <w:t>инвест</w:t>
      </w:r>
      <w:proofErr w:type="spellEnd"/>
      <w:r w:rsidR="00495153">
        <w:t>»</w:t>
      </w:r>
      <w:r w:rsidR="00330D46" w:rsidRPr="005F1178">
        <w:t xml:space="preserve">; ЗАО </w:t>
      </w:r>
      <w:r w:rsidR="00495153">
        <w:t>«</w:t>
      </w:r>
      <w:r w:rsidR="00330D46" w:rsidRPr="005F1178">
        <w:t xml:space="preserve">Банк </w:t>
      </w:r>
      <w:proofErr w:type="spellStart"/>
      <w:r w:rsidR="00330D46" w:rsidRPr="005F1178">
        <w:t>Интеза</w:t>
      </w:r>
      <w:proofErr w:type="spellEnd"/>
      <w:r w:rsidR="00495153">
        <w:t>»</w:t>
      </w:r>
      <w:r w:rsidR="00330D46" w:rsidRPr="005F1178">
        <w:t>; ОАО Банк ЗЕНИТ;</w:t>
      </w:r>
      <w:proofErr w:type="gramEnd"/>
      <w:r w:rsidR="00330D46" w:rsidRPr="005F1178">
        <w:t xml:space="preserve"> ОАО </w:t>
      </w:r>
      <w:r w:rsidR="00495153">
        <w:t>«</w:t>
      </w:r>
      <w:r w:rsidR="00330D46" w:rsidRPr="005F1178">
        <w:t>ЧЕЛИНДБАНК</w:t>
      </w:r>
      <w:r w:rsidR="00495153">
        <w:t>»</w:t>
      </w:r>
      <w:r w:rsidR="00330D46" w:rsidRPr="005F1178">
        <w:t xml:space="preserve">; КБ </w:t>
      </w:r>
      <w:r w:rsidR="00495153">
        <w:t>«</w:t>
      </w:r>
      <w:r w:rsidR="00330D46" w:rsidRPr="005F1178">
        <w:t>ЛОКО-Банк</w:t>
      </w:r>
      <w:r w:rsidR="00495153">
        <w:t>»</w:t>
      </w:r>
      <w:r w:rsidR="00330D46" w:rsidRPr="005F1178">
        <w:t xml:space="preserve"> (ЗАО); ОАО </w:t>
      </w:r>
      <w:r w:rsidR="00495153">
        <w:t>«</w:t>
      </w:r>
      <w:r w:rsidR="00330D46" w:rsidRPr="005F1178">
        <w:t>Смоленский Банк</w:t>
      </w:r>
      <w:r w:rsidR="00495153">
        <w:t>»</w:t>
      </w:r>
      <w:r w:rsidR="00330D46" w:rsidRPr="005F1178">
        <w:t xml:space="preserve">; ОАО Банк </w:t>
      </w:r>
      <w:r w:rsidR="00495153">
        <w:t>«</w:t>
      </w:r>
      <w:r w:rsidR="00330D46" w:rsidRPr="005F1178">
        <w:t>ОТКРЫТИЕ</w:t>
      </w:r>
      <w:r w:rsidR="00495153">
        <w:t>»</w:t>
      </w:r>
      <w:r w:rsidR="00330D46" w:rsidRPr="005F1178">
        <w:t xml:space="preserve">; ОАО </w:t>
      </w:r>
      <w:r w:rsidR="00495153">
        <w:t>«</w:t>
      </w:r>
      <w:proofErr w:type="spellStart"/>
      <w:r w:rsidR="00330D46" w:rsidRPr="005F1178">
        <w:t>Первобанк</w:t>
      </w:r>
      <w:proofErr w:type="spellEnd"/>
      <w:r w:rsidR="00495153">
        <w:t>»</w:t>
      </w:r>
      <w:r w:rsidR="00330D46" w:rsidRPr="005F1178">
        <w:t xml:space="preserve">; ОАО </w:t>
      </w:r>
      <w:r w:rsidR="00495153">
        <w:t>«</w:t>
      </w:r>
      <w:r w:rsidR="00330D46" w:rsidRPr="005F1178">
        <w:t>ЧЕЛЯБИНВЕСТБАНК</w:t>
      </w:r>
      <w:r w:rsidR="00495153">
        <w:t>»</w:t>
      </w:r>
      <w:r w:rsidR="00330D46" w:rsidRPr="005F1178">
        <w:t xml:space="preserve">; ОАО </w:t>
      </w:r>
      <w:r w:rsidR="00495153">
        <w:t>«</w:t>
      </w:r>
      <w:r w:rsidR="00330D46" w:rsidRPr="005F1178">
        <w:t>СКБ-Банк</w:t>
      </w:r>
      <w:r w:rsidR="00495153">
        <w:t>»</w:t>
      </w:r>
      <w:r w:rsidR="00330D46" w:rsidRPr="005F1178">
        <w:t xml:space="preserve">; ОАО </w:t>
      </w:r>
      <w:r w:rsidR="00495153">
        <w:t>«</w:t>
      </w:r>
      <w:r w:rsidR="00330D46" w:rsidRPr="005F1178">
        <w:t>БАЛТИНВЕСТБАНК</w:t>
      </w:r>
      <w:r w:rsidR="00495153">
        <w:t>»</w:t>
      </w:r>
      <w:r w:rsidR="00330D46" w:rsidRPr="005F1178">
        <w:t xml:space="preserve">; Райффайзенбанк; ОАО </w:t>
      </w:r>
      <w:r w:rsidR="00495153">
        <w:t>«</w:t>
      </w:r>
      <w:proofErr w:type="spellStart"/>
      <w:r w:rsidR="00330D46" w:rsidRPr="005F1178">
        <w:t>УБРиР</w:t>
      </w:r>
      <w:proofErr w:type="spellEnd"/>
      <w:r w:rsidR="00495153">
        <w:t>»</w:t>
      </w:r>
      <w:r w:rsidR="00330D46" w:rsidRPr="005F1178">
        <w:t xml:space="preserve">; КБ </w:t>
      </w:r>
      <w:r w:rsidR="00495153">
        <w:t>«</w:t>
      </w:r>
      <w:r w:rsidR="00330D46" w:rsidRPr="005F1178">
        <w:t>Кубань Кредит</w:t>
      </w:r>
      <w:r w:rsidR="00495153">
        <w:t>»</w:t>
      </w:r>
      <w:r w:rsidR="00330D46" w:rsidRPr="005F1178">
        <w:t xml:space="preserve"> ООО; ОАО КБ </w:t>
      </w:r>
      <w:r w:rsidR="00495153">
        <w:t>«</w:t>
      </w:r>
      <w:r w:rsidR="00330D46" w:rsidRPr="005F1178">
        <w:t>Восточный</w:t>
      </w:r>
      <w:r w:rsidR="00495153">
        <w:t>»</w:t>
      </w:r>
      <w:r w:rsidR="00330D46" w:rsidRPr="005F1178">
        <w:t xml:space="preserve">; ОАО АКБ </w:t>
      </w:r>
      <w:r w:rsidR="00495153">
        <w:t>«</w:t>
      </w:r>
      <w:r w:rsidR="00330D46" w:rsidRPr="005F1178">
        <w:t>Связь-Банк</w:t>
      </w:r>
      <w:r w:rsidR="00495153">
        <w:t>»</w:t>
      </w:r>
      <w:r w:rsidR="00330D46" w:rsidRPr="005F1178">
        <w:t xml:space="preserve">; ОАО </w:t>
      </w:r>
      <w:r w:rsidR="00495153">
        <w:t>«</w:t>
      </w:r>
      <w:proofErr w:type="spellStart"/>
      <w:r w:rsidR="00330D46" w:rsidRPr="005F1178">
        <w:t>Энергомашбанк</w:t>
      </w:r>
      <w:proofErr w:type="spellEnd"/>
      <w:r w:rsidR="00495153">
        <w:t>»</w:t>
      </w:r>
      <w:r w:rsidR="00330D46" w:rsidRPr="005F1178">
        <w:t xml:space="preserve">; АКБ </w:t>
      </w:r>
      <w:r w:rsidR="00495153">
        <w:t>«</w:t>
      </w:r>
      <w:r w:rsidR="00330D46" w:rsidRPr="005F1178">
        <w:t>ФОРА-БАНК</w:t>
      </w:r>
      <w:proofErr w:type="gramStart"/>
      <w:r w:rsidR="00495153">
        <w:t>»</w:t>
      </w:r>
      <w:r w:rsidR="00330D46" w:rsidRPr="005F1178">
        <w:t>(</w:t>
      </w:r>
      <w:proofErr w:type="gramEnd"/>
      <w:r w:rsidR="00330D46" w:rsidRPr="005F1178">
        <w:t xml:space="preserve">ЗАО); ОАО </w:t>
      </w:r>
      <w:r w:rsidR="00495153">
        <w:t>«</w:t>
      </w:r>
      <w:r w:rsidR="00330D46" w:rsidRPr="005F1178">
        <w:t xml:space="preserve">АИКБ </w:t>
      </w:r>
      <w:r w:rsidR="00495153">
        <w:t>«</w:t>
      </w:r>
      <w:proofErr w:type="spellStart"/>
      <w:r w:rsidR="00330D46" w:rsidRPr="005F1178">
        <w:t>Татфондбанк</w:t>
      </w:r>
      <w:proofErr w:type="spellEnd"/>
      <w:r w:rsidR="00495153">
        <w:t>»</w:t>
      </w:r>
      <w:r w:rsidR="00330D46" w:rsidRPr="005F1178">
        <w:t xml:space="preserve">; Банк </w:t>
      </w:r>
      <w:r w:rsidR="00495153">
        <w:t>«</w:t>
      </w:r>
      <w:r w:rsidR="00330D46" w:rsidRPr="005F1178">
        <w:t>ТРАСТ</w:t>
      </w:r>
      <w:r w:rsidR="00495153">
        <w:t>»</w:t>
      </w:r>
      <w:r w:rsidR="00330D46" w:rsidRPr="005F1178">
        <w:t xml:space="preserve">; АКБ </w:t>
      </w:r>
      <w:r w:rsidR="00495153">
        <w:t>«</w:t>
      </w:r>
      <w:proofErr w:type="spellStart"/>
      <w:r w:rsidR="00330D46" w:rsidRPr="005F1178">
        <w:t>Энергобанк</w:t>
      </w:r>
      <w:proofErr w:type="spellEnd"/>
      <w:r w:rsidR="00495153">
        <w:t>»</w:t>
      </w:r>
      <w:r w:rsidR="00330D46" w:rsidRPr="005F1178">
        <w:t xml:space="preserve"> (ОАО); Финансовая Группа </w:t>
      </w:r>
      <w:proofErr w:type="spellStart"/>
      <w:r w:rsidR="00330D46" w:rsidRPr="005F1178">
        <w:t>Лайф</w:t>
      </w:r>
      <w:proofErr w:type="spellEnd"/>
      <w:r w:rsidR="00330D46" w:rsidRPr="005F1178">
        <w:t xml:space="preserve"> (ОАО </w:t>
      </w:r>
      <w:r w:rsidR="00495153">
        <w:t>«</w:t>
      </w:r>
      <w:r w:rsidR="00330D46" w:rsidRPr="005F1178">
        <w:t>ВУЗ-Банк</w:t>
      </w:r>
      <w:r w:rsidR="00495153">
        <w:t>»</w:t>
      </w:r>
      <w:r w:rsidR="00330D46" w:rsidRPr="005F1178">
        <w:t xml:space="preserve">, ОАО </w:t>
      </w:r>
      <w:r w:rsidR="00495153">
        <w:t>«</w:t>
      </w:r>
      <w:proofErr w:type="spellStart"/>
      <w:r w:rsidR="00330D46" w:rsidRPr="005F1178">
        <w:t>Газэнергобанк</w:t>
      </w:r>
      <w:proofErr w:type="spellEnd"/>
      <w:r w:rsidR="00495153">
        <w:t>»</w:t>
      </w:r>
      <w:r w:rsidR="00330D46" w:rsidRPr="005F1178">
        <w:t xml:space="preserve">, ОАО АКБ </w:t>
      </w:r>
      <w:r w:rsidR="00495153">
        <w:t>«</w:t>
      </w:r>
      <w:proofErr w:type="spellStart"/>
      <w:r w:rsidR="00330D46" w:rsidRPr="005F1178">
        <w:t>Пробизнесбанк</w:t>
      </w:r>
      <w:proofErr w:type="spellEnd"/>
      <w:r w:rsidR="00495153">
        <w:t>»</w:t>
      </w:r>
      <w:r w:rsidR="00330D46" w:rsidRPr="005F1178">
        <w:t xml:space="preserve">, ЗАО АКБ </w:t>
      </w:r>
      <w:r w:rsidR="00495153">
        <w:t>«</w:t>
      </w:r>
      <w:r w:rsidR="00330D46" w:rsidRPr="005F1178">
        <w:t>Экспресс-Волга</w:t>
      </w:r>
      <w:r w:rsidR="00495153">
        <w:t>»</w:t>
      </w:r>
      <w:r w:rsidR="00330D46" w:rsidRPr="005F1178">
        <w:t>);</w:t>
      </w:r>
    </w:p>
    <w:p w:rsidR="00330D46" w:rsidRPr="005F1178" w:rsidRDefault="00330D46" w:rsidP="00330D46">
      <w:pPr>
        <w:spacing w:after="0" w:line="240" w:lineRule="auto"/>
        <w:jc w:val="both"/>
      </w:pPr>
      <w:proofErr w:type="gramStart"/>
      <w:r w:rsidRPr="005F1178">
        <w:t xml:space="preserve">ОАО Банк АВБ; ЗАО </w:t>
      </w:r>
      <w:proofErr w:type="spellStart"/>
      <w:r w:rsidRPr="005F1178">
        <w:t>Автоградбанк</w:t>
      </w:r>
      <w:proofErr w:type="spellEnd"/>
      <w:r w:rsidRPr="005F1178">
        <w:t xml:space="preserve">; ЗАО </w:t>
      </w:r>
      <w:r w:rsidR="00495153">
        <w:t>«</w:t>
      </w:r>
      <w:r w:rsidRPr="005F1178">
        <w:t>РУССТРОЙБАНК</w:t>
      </w:r>
      <w:r w:rsidR="00495153">
        <w:t>»</w:t>
      </w:r>
      <w:r w:rsidRPr="005F1178">
        <w:t xml:space="preserve">; КБ </w:t>
      </w:r>
      <w:r w:rsidR="00495153">
        <w:t>«</w:t>
      </w:r>
      <w:r w:rsidRPr="005F1178">
        <w:t>ЮНИАСТРУМ БАНК</w:t>
      </w:r>
      <w:r w:rsidR="00495153">
        <w:t>»</w:t>
      </w:r>
      <w:r w:rsidRPr="005F1178">
        <w:t xml:space="preserve"> (ООО); ОАО </w:t>
      </w:r>
      <w:r w:rsidR="00495153">
        <w:t>«</w:t>
      </w:r>
      <w:r w:rsidRPr="005F1178">
        <w:t>БИНБАНК</w:t>
      </w:r>
      <w:r w:rsidR="00495153">
        <w:t>»</w:t>
      </w:r>
      <w:r w:rsidRPr="005F1178">
        <w:t>; МКБ</w:t>
      </w:r>
      <w:r w:rsidR="00A4479D" w:rsidRPr="005F1178">
        <w:t xml:space="preserve">; </w:t>
      </w:r>
      <w:proofErr w:type="spellStart"/>
      <w:r w:rsidRPr="005F1178">
        <w:t>ИнвесткапиталБанк</w:t>
      </w:r>
      <w:proofErr w:type="spellEnd"/>
      <w:r w:rsidRPr="005F1178">
        <w:t xml:space="preserve">; ОАО КБ </w:t>
      </w:r>
      <w:r w:rsidR="00495153">
        <w:t>«</w:t>
      </w:r>
      <w:r w:rsidRPr="005F1178">
        <w:t>АГРОПРОМКРЕДИТ</w:t>
      </w:r>
      <w:r w:rsidR="00495153">
        <w:t>»</w:t>
      </w:r>
      <w:r w:rsidRPr="005F1178">
        <w:t xml:space="preserve">; </w:t>
      </w:r>
      <w:r w:rsidR="00495153">
        <w:t>«</w:t>
      </w:r>
      <w:r w:rsidRPr="005F1178">
        <w:t>Азиатско-Тихоокеанский Банк</w:t>
      </w:r>
      <w:r w:rsidR="00495153">
        <w:t>»</w:t>
      </w:r>
      <w:r w:rsidRPr="005F1178">
        <w:t xml:space="preserve"> (ОАО); ОАО </w:t>
      </w:r>
      <w:r w:rsidR="00495153">
        <w:t>«</w:t>
      </w:r>
      <w:r w:rsidRPr="005F1178">
        <w:t>МТС-Банк</w:t>
      </w:r>
      <w:r w:rsidR="00495153">
        <w:t>»</w:t>
      </w:r>
      <w:r w:rsidRPr="005F1178">
        <w:t xml:space="preserve">; ОАО Банк </w:t>
      </w:r>
      <w:r w:rsidR="00495153">
        <w:t>«</w:t>
      </w:r>
      <w:r w:rsidRPr="005F1178">
        <w:t>АЛЕКСАНДРОВСКИЙ</w:t>
      </w:r>
      <w:r w:rsidR="00495153">
        <w:t>»</w:t>
      </w:r>
      <w:r w:rsidRPr="005F1178">
        <w:t xml:space="preserve">; КБ </w:t>
      </w:r>
      <w:r w:rsidR="00495153">
        <w:t>«</w:t>
      </w:r>
      <w:proofErr w:type="spellStart"/>
      <w:r w:rsidRPr="005F1178">
        <w:t>Нацинвестпромбанк</w:t>
      </w:r>
      <w:proofErr w:type="spellEnd"/>
      <w:r w:rsidR="00495153">
        <w:t>»</w:t>
      </w:r>
      <w:r w:rsidRPr="005F1178">
        <w:t xml:space="preserve"> (ЗАО); ЗАО </w:t>
      </w:r>
      <w:r w:rsidR="00495153">
        <w:t>«</w:t>
      </w:r>
      <w:proofErr w:type="spellStart"/>
      <w:r w:rsidRPr="005F1178">
        <w:t>Экономбанк</w:t>
      </w:r>
      <w:proofErr w:type="spellEnd"/>
      <w:r w:rsidR="00495153">
        <w:t>»</w:t>
      </w:r>
      <w:r w:rsidRPr="005F1178">
        <w:t xml:space="preserve">; ЗАО </w:t>
      </w:r>
      <w:r w:rsidR="00495153">
        <w:t>«</w:t>
      </w:r>
      <w:r w:rsidRPr="005F1178">
        <w:t>ФИА-БАНК</w:t>
      </w:r>
      <w:r w:rsidR="00495153">
        <w:t>»</w:t>
      </w:r>
      <w:r w:rsidRPr="005F1178">
        <w:t xml:space="preserve">; Банк </w:t>
      </w:r>
      <w:r w:rsidR="00495153">
        <w:t>«</w:t>
      </w:r>
      <w:r w:rsidRPr="005F1178">
        <w:t>Кредит-Москва</w:t>
      </w:r>
      <w:r w:rsidR="00495153">
        <w:t>»</w:t>
      </w:r>
      <w:r w:rsidRPr="005F1178">
        <w:t xml:space="preserve"> (ОАО); </w:t>
      </w:r>
      <w:r w:rsidR="00495153">
        <w:t>«</w:t>
      </w:r>
      <w:r w:rsidRPr="005F1178">
        <w:t>РИАБАНК</w:t>
      </w:r>
      <w:r w:rsidR="00495153">
        <w:t>»</w:t>
      </w:r>
      <w:r w:rsidRPr="005F1178">
        <w:t xml:space="preserve"> (ЗАО); Банк </w:t>
      </w:r>
      <w:r w:rsidR="00495153">
        <w:t>«</w:t>
      </w:r>
      <w:r w:rsidRPr="005F1178">
        <w:t>Первомайский</w:t>
      </w:r>
      <w:r w:rsidR="00495153">
        <w:t>»</w:t>
      </w:r>
      <w:r w:rsidRPr="005F1178">
        <w:t xml:space="preserve"> (ЗАО); ОАО КБ </w:t>
      </w:r>
      <w:r w:rsidR="00495153">
        <w:t>«</w:t>
      </w:r>
      <w:r w:rsidRPr="005F1178">
        <w:t>Акцепт</w:t>
      </w:r>
      <w:r w:rsidR="00495153">
        <w:t>»</w:t>
      </w:r>
      <w:r w:rsidRPr="005F1178">
        <w:t xml:space="preserve">; ОАО </w:t>
      </w:r>
      <w:r w:rsidR="00495153">
        <w:t>«</w:t>
      </w:r>
      <w:r w:rsidRPr="005F1178">
        <w:t>Гранд Инвест Банк</w:t>
      </w:r>
      <w:r w:rsidR="00495153">
        <w:t>»</w:t>
      </w:r>
      <w:r w:rsidRPr="005F1178">
        <w:t xml:space="preserve">; ООО КБ </w:t>
      </w:r>
      <w:r w:rsidR="00495153">
        <w:t>«</w:t>
      </w:r>
      <w:r w:rsidRPr="005F1178">
        <w:t>РОСАВТОБАНК</w:t>
      </w:r>
      <w:r w:rsidR="00495153">
        <w:t>»</w:t>
      </w:r>
      <w:r w:rsidRPr="005F1178">
        <w:t>;</w:t>
      </w:r>
      <w:proofErr w:type="gramEnd"/>
      <w:r w:rsidRPr="005F1178">
        <w:t xml:space="preserve"> ОАО </w:t>
      </w:r>
      <w:r w:rsidR="00495153">
        <w:t>«</w:t>
      </w:r>
      <w:r w:rsidRPr="005F1178">
        <w:t>БАНК СГБ</w:t>
      </w:r>
      <w:r w:rsidR="00495153">
        <w:t>»</w:t>
      </w:r>
      <w:r w:rsidRPr="005F1178">
        <w:t xml:space="preserve">; ОАО </w:t>
      </w:r>
      <w:r w:rsidR="00495153">
        <w:t>«</w:t>
      </w:r>
      <w:proofErr w:type="spellStart"/>
      <w:r w:rsidRPr="005F1178">
        <w:t>Тверьуниверсалбанк</w:t>
      </w:r>
      <w:proofErr w:type="spellEnd"/>
      <w:r w:rsidR="00495153">
        <w:t>»</w:t>
      </w:r>
      <w:r w:rsidRPr="005F1178">
        <w:t xml:space="preserve">; КБ </w:t>
      </w:r>
      <w:r w:rsidR="00495153">
        <w:t>«</w:t>
      </w:r>
      <w:r w:rsidRPr="005F1178">
        <w:t>НЕФТЯНОЙ АЛЬЯНС</w:t>
      </w:r>
      <w:r w:rsidR="00495153">
        <w:t>»</w:t>
      </w:r>
      <w:r w:rsidRPr="005F1178">
        <w:t xml:space="preserve"> (ОАО); ОАО АКБ </w:t>
      </w:r>
      <w:r w:rsidR="00495153">
        <w:t>«</w:t>
      </w:r>
      <w:r w:rsidRPr="005F1178">
        <w:t>ЭКОПРОМБАНК</w:t>
      </w:r>
      <w:r w:rsidR="00495153">
        <w:t>»</w:t>
      </w:r>
      <w:r w:rsidRPr="005F1178">
        <w:t xml:space="preserve">; АККСБ </w:t>
      </w:r>
      <w:r w:rsidR="00495153">
        <w:t>«</w:t>
      </w:r>
      <w:r w:rsidRPr="005F1178">
        <w:t>КС БАНК</w:t>
      </w:r>
      <w:r w:rsidR="00495153">
        <w:t>»</w:t>
      </w:r>
      <w:r w:rsidRPr="005F1178">
        <w:t xml:space="preserve"> (ОАО); АКБ </w:t>
      </w:r>
      <w:r w:rsidR="00495153">
        <w:t>«</w:t>
      </w:r>
      <w:proofErr w:type="spellStart"/>
      <w:r w:rsidRPr="005F1178">
        <w:t>Ижкомбанк</w:t>
      </w:r>
      <w:proofErr w:type="spellEnd"/>
      <w:r w:rsidR="00495153">
        <w:t>»</w:t>
      </w:r>
      <w:r w:rsidRPr="005F1178">
        <w:t xml:space="preserve"> (ОАО); ОИКБ </w:t>
      </w:r>
      <w:r w:rsidR="00495153">
        <w:t>«</w:t>
      </w:r>
      <w:r w:rsidRPr="005F1178">
        <w:t>Русь</w:t>
      </w:r>
      <w:r w:rsidR="00495153">
        <w:t>»</w:t>
      </w:r>
      <w:r w:rsidRPr="005F1178">
        <w:t xml:space="preserve"> (ООО); КБ </w:t>
      </w:r>
      <w:r w:rsidR="00495153">
        <w:t>«</w:t>
      </w:r>
      <w:proofErr w:type="spellStart"/>
      <w:r w:rsidRPr="005F1178">
        <w:t>Унифин</w:t>
      </w:r>
      <w:proofErr w:type="spellEnd"/>
      <w:r w:rsidR="00495153">
        <w:t>»</w:t>
      </w:r>
      <w:r w:rsidRPr="005F1178">
        <w:t xml:space="preserve"> ЗАО</w:t>
      </w:r>
    </w:p>
    <w:p w:rsidR="00330D46" w:rsidRPr="005F1178" w:rsidRDefault="00330D46" w:rsidP="00330D46">
      <w:pPr>
        <w:spacing w:after="0" w:line="240" w:lineRule="auto"/>
        <w:jc w:val="both"/>
      </w:pPr>
      <w:proofErr w:type="gramStart"/>
      <w:r w:rsidRPr="005F1178">
        <w:t xml:space="preserve">Абсолют Банк; ООО </w:t>
      </w:r>
      <w:r w:rsidR="00495153">
        <w:t>«</w:t>
      </w:r>
      <w:r w:rsidRPr="005F1178">
        <w:t>Хакасский муниципальный банк</w:t>
      </w:r>
      <w:r w:rsidR="00495153">
        <w:t>»</w:t>
      </w:r>
      <w:r w:rsidRPr="005F1178">
        <w:t xml:space="preserve">; ОАО АКБ </w:t>
      </w:r>
      <w:r w:rsidR="00495153">
        <w:t>«</w:t>
      </w:r>
      <w:r w:rsidRPr="005F1178">
        <w:t>Урал ФД</w:t>
      </w:r>
      <w:r w:rsidR="00495153">
        <w:t>»</w:t>
      </w:r>
      <w:r w:rsidRPr="005F1178">
        <w:t xml:space="preserve">; ОАО АКБ </w:t>
      </w:r>
      <w:r w:rsidR="00495153">
        <w:t>«</w:t>
      </w:r>
      <w:r w:rsidRPr="005F1178">
        <w:t>РБР</w:t>
      </w:r>
      <w:r w:rsidR="00495153">
        <w:t>»</w:t>
      </w:r>
      <w:r w:rsidRPr="005F1178">
        <w:t xml:space="preserve">; БПФ банк;  ЗАО </w:t>
      </w:r>
      <w:r w:rsidR="00495153">
        <w:t>«</w:t>
      </w:r>
      <w:r w:rsidRPr="005F1178">
        <w:t xml:space="preserve">Банк </w:t>
      </w:r>
      <w:r w:rsidR="00495153">
        <w:t>«</w:t>
      </w:r>
      <w:proofErr w:type="spellStart"/>
      <w:r w:rsidRPr="005F1178">
        <w:t>Агророс</w:t>
      </w:r>
      <w:proofErr w:type="spellEnd"/>
      <w:r w:rsidR="00495153">
        <w:t>»</w:t>
      </w:r>
      <w:r w:rsidRPr="005F1178">
        <w:t xml:space="preserve">; ЗАО НГАБ </w:t>
      </w:r>
      <w:r w:rsidR="00495153">
        <w:t>«</w:t>
      </w:r>
      <w:r w:rsidRPr="005F1178">
        <w:t>Ермак</w:t>
      </w:r>
      <w:r w:rsidR="00495153">
        <w:t>»</w:t>
      </w:r>
      <w:r w:rsidRPr="005F1178">
        <w:t xml:space="preserve">; КРЕДИТ ЕВРОПА БАНК; СМП Банк; ООО КБ </w:t>
      </w:r>
      <w:r w:rsidR="00495153">
        <w:t>«</w:t>
      </w:r>
      <w:r w:rsidRPr="005F1178">
        <w:t>СИНКО-БАНК</w:t>
      </w:r>
      <w:r w:rsidR="00495153">
        <w:t>»</w:t>
      </w:r>
      <w:r w:rsidRPr="005F1178">
        <w:t xml:space="preserve">; ОАО Банк </w:t>
      </w:r>
      <w:r w:rsidR="00495153">
        <w:t>«</w:t>
      </w:r>
      <w:r w:rsidRPr="005F1178">
        <w:t>Петрокоммерц</w:t>
      </w:r>
      <w:r w:rsidR="00495153">
        <w:t>»</w:t>
      </w:r>
      <w:r w:rsidRPr="005F1178">
        <w:t xml:space="preserve">; Банк </w:t>
      </w:r>
      <w:r w:rsidR="00495153">
        <w:t>«</w:t>
      </w:r>
      <w:r w:rsidRPr="005F1178">
        <w:t xml:space="preserve">Левобережный (ОАО); </w:t>
      </w:r>
      <w:proofErr w:type="spellStart"/>
      <w:r w:rsidRPr="005F1178">
        <w:t>Росэнергобанк</w:t>
      </w:r>
      <w:proofErr w:type="spellEnd"/>
      <w:r w:rsidRPr="005F1178">
        <w:t xml:space="preserve">; КБ </w:t>
      </w:r>
      <w:r w:rsidR="00495153">
        <w:t>«</w:t>
      </w:r>
      <w:r w:rsidRPr="005F1178">
        <w:t>СТРОЙЛЕСБАНК</w:t>
      </w:r>
      <w:r w:rsidR="00495153">
        <w:t>»</w:t>
      </w:r>
      <w:r w:rsidRPr="005F1178">
        <w:t xml:space="preserve"> (ООО); ОАО СКБ Приморья </w:t>
      </w:r>
      <w:r w:rsidR="00495153">
        <w:t>«</w:t>
      </w:r>
      <w:proofErr w:type="spellStart"/>
      <w:r w:rsidRPr="005F1178">
        <w:t>ПримСоцБанк</w:t>
      </w:r>
      <w:proofErr w:type="spellEnd"/>
      <w:r w:rsidR="00495153">
        <w:t>»</w:t>
      </w:r>
      <w:r w:rsidRPr="005F1178">
        <w:t xml:space="preserve">; АКБ </w:t>
      </w:r>
      <w:r w:rsidR="00495153">
        <w:t>«</w:t>
      </w:r>
      <w:proofErr w:type="spellStart"/>
      <w:r w:rsidRPr="005F1178">
        <w:t>Ланта</w:t>
      </w:r>
      <w:proofErr w:type="spellEnd"/>
      <w:r w:rsidRPr="005F1178">
        <w:t>-Банк</w:t>
      </w:r>
      <w:r w:rsidR="00495153">
        <w:t>»</w:t>
      </w:r>
      <w:r w:rsidRPr="005F1178">
        <w:t xml:space="preserve"> (ЗАО); ЗАО АКБ </w:t>
      </w:r>
      <w:r w:rsidR="00495153">
        <w:t>«</w:t>
      </w:r>
      <w:r w:rsidRPr="005F1178">
        <w:t>Земский банк</w:t>
      </w:r>
      <w:r w:rsidR="00495153">
        <w:t>»</w:t>
      </w:r>
      <w:r w:rsidRPr="005F1178">
        <w:t>;</w:t>
      </w:r>
      <w:proofErr w:type="gramEnd"/>
      <w:r w:rsidRPr="005F1178">
        <w:t xml:space="preserve"> </w:t>
      </w:r>
      <w:proofErr w:type="gramStart"/>
      <w:r w:rsidRPr="005F1178">
        <w:t xml:space="preserve">ООО </w:t>
      </w:r>
      <w:r w:rsidR="00495153">
        <w:t>«</w:t>
      </w:r>
      <w:r w:rsidRPr="005F1178">
        <w:t>Банк БЦК-Москва</w:t>
      </w:r>
      <w:r w:rsidR="00495153">
        <w:t>»</w:t>
      </w:r>
      <w:r w:rsidRPr="005F1178">
        <w:t xml:space="preserve">; ОАО </w:t>
      </w:r>
      <w:r w:rsidR="00495153">
        <w:t>«</w:t>
      </w:r>
      <w:proofErr w:type="spellStart"/>
      <w:r w:rsidRPr="005F1178">
        <w:t>ВостСибтранскомбанк</w:t>
      </w:r>
      <w:proofErr w:type="spellEnd"/>
      <w:r w:rsidR="00495153">
        <w:t>»</w:t>
      </w:r>
      <w:r w:rsidRPr="005F1178">
        <w:t xml:space="preserve">; АКБ </w:t>
      </w:r>
      <w:r w:rsidR="00495153">
        <w:t>«</w:t>
      </w:r>
      <w:proofErr w:type="spellStart"/>
      <w:r w:rsidRPr="005F1178">
        <w:t>Трансстройбанк</w:t>
      </w:r>
      <w:proofErr w:type="spellEnd"/>
      <w:r w:rsidR="00495153">
        <w:t>»</w:t>
      </w:r>
      <w:r w:rsidRPr="005F1178">
        <w:t xml:space="preserve"> (ЗАО); ОАО </w:t>
      </w:r>
      <w:r w:rsidR="00495153">
        <w:t>«</w:t>
      </w:r>
      <w:r w:rsidRPr="005F1178">
        <w:t>Меткомбанк</w:t>
      </w:r>
      <w:r w:rsidR="00495153">
        <w:t>»</w:t>
      </w:r>
      <w:r w:rsidRPr="005F1178">
        <w:t xml:space="preserve">; КБ </w:t>
      </w:r>
      <w:r w:rsidR="00495153">
        <w:t>«</w:t>
      </w:r>
      <w:r w:rsidRPr="005F1178">
        <w:t>НОВЫЙ ВЕК</w:t>
      </w:r>
      <w:r w:rsidR="00495153">
        <w:t>»</w:t>
      </w:r>
      <w:r w:rsidRPr="005F1178">
        <w:t xml:space="preserve"> (ООО);  ОАО АКБ </w:t>
      </w:r>
      <w:r w:rsidR="00495153">
        <w:t>«</w:t>
      </w:r>
      <w:r w:rsidRPr="005F1178">
        <w:t>АКТИВ БАНК</w:t>
      </w:r>
      <w:r w:rsidR="00495153">
        <w:t>»</w:t>
      </w:r>
      <w:r w:rsidRPr="005F1178">
        <w:t xml:space="preserve">; ОАО </w:t>
      </w:r>
      <w:r w:rsidR="00495153">
        <w:t>«</w:t>
      </w:r>
      <w:r w:rsidRPr="005F1178">
        <w:t>РГС Банк</w:t>
      </w:r>
      <w:r w:rsidR="00495153">
        <w:t>»</w:t>
      </w:r>
      <w:r w:rsidRPr="005F1178">
        <w:t xml:space="preserve">; АКБ </w:t>
      </w:r>
      <w:r w:rsidR="00495153">
        <w:t>«</w:t>
      </w:r>
      <w:r w:rsidRPr="005F1178">
        <w:t>Спурт</w:t>
      </w:r>
      <w:r w:rsidR="00495153">
        <w:t>»</w:t>
      </w:r>
      <w:r w:rsidRPr="005F1178">
        <w:t xml:space="preserve"> (ОАО); ЗАО </w:t>
      </w:r>
      <w:r w:rsidR="00495153">
        <w:t>«</w:t>
      </w:r>
      <w:proofErr w:type="spellStart"/>
      <w:r w:rsidRPr="005F1178">
        <w:t>Холмсккомбанк</w:t>
      </w:r>
      <w:proofErr w:type="spellEnd"/>
      <w:r w:rsidR="00495153">
        <w:t>»</w:t>
      </w:r>
      <w:r w:rsidRPr="005F1178">
        <w:t xml:space="preserve">; ООО КБ </w:t>
      </w:r>
      <w:r w:rsidR="00495153">
        <w:t>«</w:t>
      </w:r>
      <w:r w:rsidRPr="005F1178">
        <w:t>Кольцо Урала</w:t>
      </w:r>
      <w:r w:rsidR="00495153">
        <w:t>»</w:t>
      </w:r>
      <w:r w:rsidRPr="005F1178">
        <w:t xml:space="preserve">; ООО КБ </w:t>
      </w:r>
      <w:r w:rsidR="00495153">
        <w:t>«</w:t>
      </w:r>
      <w:r w:rsidRPr="005F1178">
        <w:t>ГТ банк</w:t>
      </w:r>
      <w:r w:rsidR="00495153">
        <w:t>»</w:t>
      </w:r>
      <w:r w:rsidRPr="005F1178">
        <w:t xml:space="preserve">; ЗАО </w:t>
      </w:r>
      <w:r w:rsidR="00495153">
        <w:t>«</w:t>
      </w:r>
      <w:proofErr w:type="spellStart"/>
      <w:r w:rsidRPr="005F1178">
        <w:t>Нефтепромбанк</w:t>
      </w:r>
      <w:proofErr w:type="spellEnd"/>
      <w:r w:rsidR="00495153">
        <w:t>»</w:t>
      </w:r>
      <w:r w:rsidRPr="005F1178">
        <w:t xml:space="preserve">; </w:t>
      </w:r>
      <w:r w:rsidR="00495153">
        <w:t>«</w:t>
      </w:r>
      <w:r w:rsidRPr="005F1178">
        <w:t>БУМ-БАНК</w:t>
      </w:r>
      <w:r w:rsidR="00495153">
        <w:t>»</w:t>
      </w:r>
      <w:r w:rsidRPr="005F1178">
        <w:t xml:space="preserve">, ООО; ЗАО </w:t>
      </w:r>
      <w:r w:rsidR="00495153">
        <w:t>«</w:t>
      </w:r>
      <w:r w:rsidRPr="005F1178">
        <w:t>ПЕРВОУРАЛЬСКБАНК</w:t>
      </w:r>
      <w:r w:rsidR="00495153">
        <w:t>»</w:t>
      </w:r>
      <w:r w:rsidRPr="005F1178">
        <w:t>.</w:t>
      </w:r>
      <w:proofErr w:type="gramEnd"/>
    </w:p>
    <w:p w:rsidR="00330D46" w:rsidRPr="005F1178" w:rsidRDefault="00330D46" w:rsidP="00330D46">
      <w:pPr>
        <w:ind w:left="142"/>
        <w:jc w:val="center"/>
      </w:pPr>
    </w:p>
    <w:p w:rsidR="00B764A6" w:rsidRPr="005F1178" w:rsidRDefault="00B764A6" w:rsidP="00330D46">
      <w:pPr>
        <w:ind w:firstLine="709"/>
        <w:jc w:val="both"/>
        <w:rPr>
          <w:b/>
        </w:rPr>
      </w:pPr>
      <w:r w:rsidRPr="005F1178">
        <w:rPr>
          <w:b/>
        </w:rPr>
        <w:t>Углубленные интервью были проведены со следующими спикерами:</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14"/>
        <w:gridCol w:w="4483"/>
      </w:tblGrid>
      <w:tr w:rsidR="00B07E61" w:rsidRPr="005F1178" w:rsidTr="003B292E">
        <w:tc>
          <w:tcPr>
            <w:tcW w:w="4414" w:type="dxa"/>
          </w:tcPr>
          <w:p w:rsidR="00B07E61" w:rsidRPr="005F1178" w:rsidRDefault="00B07E61" w:rsidP="00B07E61">
            <w:pPr>
              <w:jc w:val="both"/>
              <w:rPr>
                <w:rFonts w:ascii="Times New Roman" w:hAnsi="Times New Roman" w:cs="Times New Roman"/>
                <w:sz w:val="24"/>
                <w:szCs w:val="24"/>
              </w:rPr>
            </w:pPr>
            <w:r w:rsidRPr="005F1178">
              <w:rPr>
                <w:rFonts w:ascii="Times New Roman" w:hAnsi="Times New Roman" w:cs="Times New Roman"/>
                <w:sz w:val="24"/>
                <w:szCs w:val="24"/>
              </w:rPr>
              <w:t>Андрей Петров</w:t>
            </w:r>
          </w:p>
        </w:tc>
        <w:tc>
          <w:tcPr>
            <w:tcW w:w="4483" w:type="dxa"/>
          </w:tcPr>
          <w:p w:rsidR="00B07E61" w:rsidRPr="005F1178" w:rsidRDefault="00691BEC" w:rsidP="00B07E61">
            <w:pPr>
              <w:jc w:val="both"/>
              <w:rPr>
                <w:rFonts w:ascii="Times New Roman" w:hAnsi="Times New Roman" w:cs="Times New Roman"/>
                <w:sz w:val="24"/>
                <w:szCs w:val="24"/>
              </w:rPr>
            </w:pPr>
            <w:r>
              <w:rPr>
                <w:rFonts w:ascii="Times New Roman" w:hAnsi="Times New Roman" w:cs="Times New Roman"/>
                <w:sz w:val="24"/>
                <w:szCs w:val="24"/>
              </w:rPr>
              <w:t>н</w:t>
            </w:r>
            <w:r w:rsidR="00B07E61" w:rsidRPr="005F1178">
              <w:rPr>
                <w:rFonts w:ascii="Times New Roman" w:hAnsi="Times New Roman" w:cs="Times New Roman"/>
                <w:sz w:val="24"/>
                <w:szCs w:val="24"/>
              </w:rPr>
              <w:t xml:space="preserve">ачальник управления малого бизнеса </w:t>
            </w:r>
            <w:r>
              <w:rPr>
                <w:rFonts w:ascii="Times New Roman" w:hAnsi="Times New Roman" w:cs="Times New Roman"/>
                <w:sz w:val="24"/>
                <w:szCs w:val="24"/>
              </w:rPr>
              <w:t>«</w:t>
            </w:r>
            <w:r w:rsidR="00B07E61" w:rsidRPr="005F1178">
              <w:rPr>
                <w:rFonts w:ascii="Times New Roman" w:hAnsi="Times New Roman" w:cs="Times New Roman"/>
                <w:sz w:val="24"/>
                <w:szCs w:val="24"/>
              </w:rPr>
              <w:t>Сбербанка России</w:t>
            </w:r>
            <w:r>
              <w:rPr>
                <w:rFonts w:ascii="Times New Roman" w:hAnsi="Times New Roman" w:cs="Times New Roman"/>
                <w:sz w:val="24"/>
                <w:szCs w:val="24"/>
              </w:rPr>
              <w:t>»</w:t>
            </w:r>
          </w:p>
        </w:tc>
      </w:tr>
      <w:tr w:rsidR="00B07E61" w:rsidRPr="005F1178" w:rsidTr="003B292E">
        <w:tc>
          <w:tcPr>
            <w:tcW w:w="4414" w:type="dxa"/>
          </w:tcPr>
          <w:p w:rsidR="00B07E61" w:rsidRPr="005F1178" w:rsidRDefault="009568F3" w:rsidP="009568F3">
            <w:pPr>
              <w:jc w:val="both"/>
              <w:rPr>
                <w:rFonts w:ascii="Times New Roman" w:hAnsi="Times New Roman" w:cs="Times New Roman"/>
                <w:sz w:val="24"/>
                <w:szCs w:val="24"/>
              </w:rPr>
            </w:pPr>
            <w:r w:rsidRPr="005F1178">
              <w:rPr>
                <w:rFonts w:ascii="Times New Roman" w:hAnsi="Times New Roman" w:cs="Times New Roman"/>
                <w:sz w:val="24"/>
                <w:szCs w:val="24"/>
              </w:rPr>
              <w:t xml:space="preserve">Лариса </w:t>
            </w:r>
            <w:proofErr w:type="spellStart"/>
            <w:r w:rsidRPr="005F1178">
              <w:rPr>
                <w:rFonts w:ascii="Times New Roman" w:hAnsi="Times New Roman" w:cs="Times New Roman"/>
                <w:sz w:val="24"/>
                <w:szCs w:val="24"/>
              </w:rPr>
              <w:t>Швецова</w:t>
            </w:r>
            <w:proofErr w:type="spellEnd"/>
            <w:r w:rsidRPr="005F1178">
              <w:rPr>
                <w:rFonts w:ascii="Times New Roman" w:hAnsi="Times New Roman" w:cs="Times New Roman"/>
                <w:sz w:val="24"/>
                <w:szCs w:val="24"/>
              </w:rPr>
              <w:t xml:space="preserve"> </w:t>
            </w:r>
          </w:p>
        </w:tc>
        <w:tc>
          <w:tcPr>
            <w:tcW w:w="4483" w:type="dxa"/>
          </w:tcPr>
          <w:p w:rsidR="00B07E61" w:rsidRPr="005F1178" w:rsidRDefault="00691BEC" w:rsidP="003B292E">
            <w:pPr>
              <w:jc w:val="both"/>
              <w:rPr>
                <w:rFonts w:ascii="Times New Roman" w:hAnsi="Times New Roman" w:cs="Times New Roman"/>
                <w:sz w:val="24"/>
                <w:szCs w:val="24"/>
              </w:rPr>
            </w:pPr>
            <w:r>
              <w:rPr>
                <w:rFonts w:ascii="Times New Roman" w:hAnsi="Times New Roman" w:cs="Times New Roman"/>
                <w:sz w:val="24"/>
                <w:szCs w:val="24"/>
              </w:rPr>
              <w:t>р</w:t>
            </w:r>
            <w:r w:rsidR="009568F3" w:rsidRPr="005F1178">
              <w:rPr>
                <w:rFonts w:ascii="Times New Roman" w:hAnsi="Times New Roman" w:cs="Times New Roman"/>
                <w:sz w:val="24"/>
                <w:szCs w:val="24"/>
              </w:rPr>
              <w:t xml:space="preserve">уководитель блока корпоративного бизнеса </w:t>
            </w:r>
            <w:proofErr w:type="spellStart"/>
            <w:r w:rsidR="009568F3" w:rsidRPr="005F1178">
              <w:rPr>
                <w:rFonts w:ascii="Times New Roman" w:hAnsi="Times New Roman" w:cs="Times New Roman"/>
                <w:sz w:val="24"/>
                <w:szCs w:val="24"/>
              </w:rPr>
              <w:t>БИНБАНКа</w:t>
            </w:r>
            <w:proofErr w:type="spellEnd"/>
          </w:p>
        </w:tc>
      </w:tr>
      <w:tr w:rsidR="00B07E61" w:rsidRPr="005F1178" w:rsidTr="003B292E">
        <w:tc>
          <w:tcPr>
            <w:tcW w:w="4414" w:type="dxa"/>
          </w:tcPr>
          <w:p w:rsidR="00B07E61" w:rsidRPr="005F1178" w:rsidRDefault="009568F3" w:rsidP="003B292E">
            <w:pPr>
              <w:jc w:val="both"/>
              <w:rPr>
                <w:rFonts w:ascii="Times New Roman" w:hAnsi="Times New Roman" w:cs="Times New Roman"/>
                <w:sz w:val="24"/>
                <w:szCs w:val="24"/>
              </w:rPr>
            </w:pPr>
            <w:r w:rsidRPr="005F1178">
              <w:rPr>
                <w:rFonts w:ascii="Times New Roman" w:hAnsi="Times New Roman" w:cs="Times New Roman"/>
                <w:sz w:val="24"/>
                <w:szCs w:val="24"/>
              </w:rPr>
              <w:t>Мари</w:t>
            </w:r>
            <w:r w:rsidR="00691BEC">
              <w:rPr>
                <w:rFonts w:ascii="Times New Roman" w:hAnsi="Times New Roman" w:cs="Times New Roman"/>
                <w:sz w:val="24"/>
                <w:szCs w:val="24"/>
              </w:rPr>
              <w:t>я</w:t>
            </w:r>
            <w:r w:rsidRPr="005F1178">
              <w:rPr>
                <w:rFonts w:ascii="Times New Roman" w:hAnsi="Times New Roman" w:cs="Times New Roman"/>
                <w:sz w:val="24"/>
                <w:szCs w:val="24"/>
              </w:rPr>
              <w:t xml:space="preserve"> </w:t>
            </w:r>
            <w:proofErr w:type="spellStart"/>
            <w:r w:rsidRPr="005F1178">
              <w:rPr>
                <w:rFonts w:ascii="Times New Roman" w:hAnsi="Times New Roman" w:cs="Times New Roman"/>
                <w:sz w:val="24"/>
                <w:szCs w:val="24"/>
              </w:rPr>
              <w:t>Барсова</w:t>
            </w:r>
            <w:proofErr w:type="spellEnd"/>
          </w:p>
        </w:tc>
        <w:tc>
          <w:tcPr>
            <w:tcW w:w="4483" w:type="dxa"/>
          </w:tcPr>
          <w:p w:rsidR="00B07E61" w:rsidRPr="005F1178" w:rsidRDefault="00691BEC" w:rsidP="003B292E">
            <w:pPr>
              <w:jc w:val="both"/>
              <w:rPr>
                <w:rFonts w:ascii="Times New Roman" w:hAnsi="Times New Roman" w:cs="Times New Roman"/>
                <w:sz w:val="24"/>
                <w:szCs w:val="24"/>
              </w:rPr>
            </w:pPr>
            <w:r>
              <w:rPr>
                <w:rFonts w:ascii="Times New Roman" w:hAnsi="Times New Roman" w:cs="Times New Roman"/>
                <w:sz w:val="24"/>
                <w:szCs w:val="24"/>
              </w:rPr>
              <w:t>д</w:t>
            </w:r>
            <w:r w:rsidR="009568F3" w:rsidRPr="005F1178">
              <w:rPr>
                <w:rFonts w:ascii="Times New Roman" w:hAnsi="Times New Roman" w:cs="Times New Roman"/>
                <w:sz w:val="24"/>
                <w:szCs w:val="24"/>
              </w:rPr>
              <w:t xml:space="preserve">иректор департамента по страхованию имущественных рисков и ответственности СГ </w:t>
            </w:r>
            <w:r>
              <w:rPr>
                <w:rFonts w:ascii="Times New Roman" w:hAnsi="Times New Roman" w:cs="Times New Roman"/>
                <w:sz w:val="24"/>
                <w:szCs w:val="24"/>
              </w:rPr>
              <w:t>«</w:t>
            </w:r>
            <w:r w:rsidR="009568F3" w:rsidRPr="005F1178">
              <w:rPr>
                <w:rFonts w:ascii="Times New Roman" w:hAnsi="Times New Roman" w:cs="Times New Roman"/>
                <w:sz w:val="24"/>
                <w:szCs w:val="24"/>
              </w:rPr>
              <w:t>УРАЛСИБ</w:t>
            </w:r>
            <w:r>
              <w:rPr>
                <w:rFonts w:ascii="Times New Roman" w:hAnsi="Times New Roman" w:cs="Times New Roman"/>
                <w:sz w:val="24"/>
                <w:szCs w:val="24"/>
              </w:rPr>
              <w:t>»</w:t>
            </w:r>
          </w:p>
        </w:tc>
      </w:tr>
      <w:tr w:rsidR="00B07E61" w:rsidRPr="005F1178" w:rsidTr="003B292E">
        <w:tc>
          <w:tcPr>
            <w:tcW w:w="4414" w:type="dxa"/>
          </w:tcPr>
          <w:p w:rsidR="009568F3" w:rsidRPr="005F1178" w:rsidRDefault="009568F3" w:rsidP="009568F3">
            <w:pPr>
              <w:spacing w:after="0" w:line="240" w:lineRule="auto"/>
              <w:rPr>
                <w:rFonts w:ascii="Times New Roman" w:hAnsi="Times New Roman" w:cs="Times New Roman"/>
                <w:bCs/>
                <w:sz w:val="24"/>
                <w:szCs w:val="24"/>
              </w:rPr>
            </w:pPr>
            <w:r w:rsidRPr="005F1178">
              <w:rPr>
                <w:rFonts w:ascii="Times New Roman" w:hAnsi="Times New Roman" w:cs="Times New Roman"/>
                <w:bCs/>
                <w:sz w:val="24"/>
                <w:szCs w:val="24"/>
              </w:rPr>
              <w:t>Роман ФРОЛОВ</w:t>
            </w:r>
          </w:p>
          <w:p w:rsidR="00B07E61" w:rsidRPr="005F1178" w:rsidRDefault="00B07E61" w:rsidP="003B292E">
            <w:pPr>
              <w:jc w:val="both"/>
              <w:rPr>
                <w:rFonts w:ascii="Times New Roman" w:hAnsi="Times New Roman" w:cs="Times New Roman"/>
                <w:sz w:val="24"/>
                <w:szCs w:val="24"/>
              </w:rPr>
            </w:pPr>
          </w:p>
        </w:tc>
        <w:tc>
          <w:tcPr>
            <w:tcW w:w="4483" w:type="dxa"/>
          </w:tcPr>
          <w:p w:rsidR="00B07E61" w:rsidRPr="005F1178" w:rsidRDefault="00691BEC" w:rsidP="003B292E">
            <w:pPr>
              <w:jc w:val="both"/>
              <w:rPr>
                <w:rFonts w:ascii="Times New Roman" w:hAnsi="Times New Roman" w:cs="Times New Roman"/>
                <w:sz w:val="24"/>
                <w:szCs w:val="24"/>
              </w:rPr>
            </w:pPr>
            <w:r>
              <w:rPr>
                <w:rFonts w:ascii="Times New Roman" w:hAnsi="Times New Roman" w:cs="Times New Roman"/>
                <w:bCs/>
                <w:sz w:val="24"/>
                <w:szCs w:val="24"/>
              </w:rPr>
              <w:t>з</w:t>
            </w:r>
            <w:r w:rsidR="009568F3" w:rsidRPr="005F1178">
              <w:rPr>
                <w:rFonts w:ascii="Times New Roman" w:hAnsi="Times New Roman" w:cs="Times New Roman"/>
                <w:bCs/>
                <w:sz w:val="24"/>
                <w:szCs w:val="24"/>
              </w:rPr>
              <w:t>аместитель генерального директора</w:t>
            </w:r>
            <w:r>
              <w:rPr>
                <w:rFonts w:ascii="Times New Roman" w:hAnsi="Times New Roman" w:cs="Times New Roman"/>
                <w:bCs/>
                <w:sz w:val="24"/>
                <w:szCs w:val="24"/>
              </w:rPr>
              <w:t>,</w:t>
            </w:r>
            <w:r w:rsidR="009568F3" w:rsidRPr="005F1178">
              <w:rPr>
                <w:rFonts w:ascii="Times New Roman" w:hAnsi="Times New Roman" w:cs="Times New Roman"/>
                <w:bCs/>
                <w:sz w:val="24"/>
                <w:szCs w:val="24"/>
              </w:rPr>
              <w:t xml:space="preserve"> руководитель </w:t>
            </w:r>
            <w:r>
              <w:rPr>
                <w:rFonts w:ascii="Times New Roman" w:hAnsi="Times New Roman" w:cs="Times New Roman"/>
                <w:bCs/>
                <w:sz w:val="24"/>
                <w:szCs w:val="24"/>
              </w:rPr>
              <w:t>ц</w:t>
            </w:r>
            <w:r w:rsidR="009568F3" w:rsidRPr="005F1178">
              <w:rPr>
                <w:rFonts w:ascii="Times New Roman" w:hAnsi="Times New Roman" w:cs="Times New Roman"/>
                <w:bCs/>
                <w:sz w:val="24"/>
                <w:szCs w:val="24"/>
              </w:rPr>
              <w:t xml:space="preserve">ентра корпоративного </w:t>
            </w:r>
            <w:r w:rsidR="009568F3" w:rsidRPr="005F1178">
              <w:rPr>
                <w:rFonts w:ascii="Times New Roman" w:hAnsi="Times New Roman" w:cs="Times New Roman"/>
                <w:bCs/>
                <w:sz w:val="24"/>
                <w:szCs w:val="24"/>
              </w:rPr>
              <w:lastRenderedPageBreak/>
              <w:t>страхования СОАО «ВСК»</w:t>
            </w:r>
          </w:p>
        </w:tc>
      </w:tr>
      <w:tr w:rsidR="00B07E61" w:rsidRPr="005F1178" w:rsidTr="003B292E">
        <w:tc>
          <w:tcPr>
            <w:tcW w:w="4414" w:type="dxa"/>
          </w:tcPr>
          <w:p w:rsidR="00B07E61" w:rsidRPr="005F1178" w:rsidRDefault="009568F3" w:rsidP="003B292E">
            <w:pPr>
              <w:jc w:val="both"/>
              <w:rPr>
                <w:rFonts w:ascii="Times New Roman" w:hAnsi="Times New Roman" w:cs="Times New Roman"/>
                <w:sz w:val="24"/>
                <w:szCs w:val="24"/>
              </w:rPr>
            </w:pPr>
            <w:r w:rsidRPr="005F1178">
              <w:rPr>
                <w:rFonts w:ascii="Times New Roman" w:hAnsi="Times New Roman" w:cs="Times New Roman"/>
                <w:sz w:val="24"/>
                <w:szCs w:val="24"/>
              </w:rPr>
              <w:lastRenderedPageBreak/>
              <w:t>Андрей Мартьянов</w:t>
            </w:r>
          </w:p>
        </w:tc>
        <w:tc>
          <w:tcPr>
            <w:tcW w:w="4483" w:type="dxa"/>
          </w:tcPr>
          <w:p w:rsidR="00B07E61" w:rsidRPr="005F1178" w:rsidRDefault="00691BEC" w:rsidP="003B292E">
            <w:pPr>
              <w:jc w:val="both"/>
              <w:rPr>
                <w:rFonts w:ascii="Times New Roman" w:hAnsi="Times New Roman" w:cs="Times New Roman"/>
                <w:sz w:val="24"/>
                <w:szCs w:val="24"/>
              </w:rPr>
            </w:pPr>
            <w:r>
              <w:rPr>
                <w:rFonts w:ascii="Times New Roman" w:hAnsi="Times New Roman" w:cs="Times New Roman"/>
                <w:sz w:val="24"/>
                <w:szCs w:val="24"/>
              </w:rPr>
              <w:t>и</w:t>
            </w:r>
            <w:r w:rsidR="009568F3" w:rsidRPr="005F1178">
              <w:rPr>
                <w:rFonts w:ascii="Times New Roman" w:hAnsi="Times New Roman" w:cs="Times New Roman"/>
                <w:sz w:val="24"/>
                <w:szCs w:val="24"/>
              </w:rPr>
              <w:t>сполнительный директор СК «МАКС»</w:t>
            </w:r>
          </w:p>
        </w:tc>
      </w:tr>
      <w:tr w:rsidR="00B07E61" w:rsidRPr="005F1178" w:rsidTr="003B292E">
        <w:tc>
          <w:tcPr>
            <w:tcW w:w="4414" w:type="dxa"/>
          </w:tcPr>
          <w:p w:rsidR="00B07E61" w:rsidRPr="005F1178" w:rsidRDefault="009568F3" w:rsidP="009568F3">
            <w:pPr>
              <w:jc w:val="both"/>
              <w:rPr>
                <w:rFonts w:ascii="Times New Roman" w:hAnsi="Times New Roman" w:cs="Times New Roman"/>
                <w:sz w:val="24"/>
                <w:szCs w:val="24"/>
              </w:rPr>
            </w:pPr>
            <w:r w:rsidRPr="005F1178">
              <w:rPr>
                <w:rFonts w:ascii="Times New Roman" w:hAnsi="Times New Roman" w:cs="Times New Roman"/>
                <w:sz w:val="24"/>
                <w:szCs w:val="24"/>
              </w:rPr>
              <w:t>Сергей Гандзюк</w:t>
            </w:r>
          </w:p>
        </w:tc>
        <w:tc>
          <w:tcPr>
            <w:tcW w:w="4483" w:type="dxa"/>
          </w:tcPr>
          <w:p w:rsidR="00B07E61" w:rsidRPr="005F1178" w:rsidRDefault="00691BEC" w:rsidP="003B292E">
            <w:pPr>
              <w:jc w:val="both"/>
              <w:rPr>
                <w:rFonts w:ascii="Times New Roman" w:hAnsi="Times New Roman" w:cs="Times New Roman"/>
                <w:sz w:val="24"/>
                <w:szCs w:val="24"/>
              </w:rPr>
            </w:pPr>
            <w:r>
              <w:rPr>
                <w:rFonts w:ascii="Times New Roman" w:hAnsi="Times New Roman" w:cs="Times New Roman"/>
                <w:sz w:val="24"/>
                <w:szCs w:val="24"/>
              </w:rPr>
              <w:t>в</w:t>
            </w:r>
            <w:r w:rsidR="009568F3" w:rsidRPr="005F1178">
              <w:rPr>
                <w:rFonts w:ascii="Times New Roman" w:hAnsi="Times New Roman" w:cs="Times New Roman"/>
                <w:sz w:val="24"/>
                <w:szCs w:val="24"/>
              </w:rPr>
              <w:t xml:space="preserve">ице-президент </w:t>
            </w:r>
            <w:r w:rsidR="009568F3" w:rsidRPr="005F1178">
              <w:rPr>
                <w:rFonts w:ascii="Times New Roman" w:hAnsi="Times New Roman" w:cs="Times New Roman"/>
                <w:sz w:val="24"/>
                <w:szCs w:val="24"/>
              </w:rPr>
              <w:br/>
              <w:t>ОАО «Банк Российский Кредит»</w:t>
            </w:r>
          </w:p>
        </w:tc>
      </w:tr>
      <w:tr w:rsidR="00B07E61" w:rsidRPr="005F1178" w:rsidTr="003B292E">
        <w:tc>
          <w:tcPr>
            <w:tcW w:w="4414" w:type="dxa"/>
          </w:tcPr>
          <w:p w:rsidR="00B07E61" w:rsidRPr="005F1178" w:rsidRDefault="009568F3" w:rsidP="009568F3">
            <w:pPr>
              <w:jc w:val="both"/>
              <w:rPr>
                <w:rFonts w:ascii="Times New Roman" w:hAnsi="Times New Roman" w:cs="Times New Roman"/>
                <w:sz w:val="24"/>
                <w:szCs w:val="24"/>
              </w:rPr>
            </w:pPr>
            <w:r w:rsidRPr="005F1178">
              <w:rPr>
                <w:rFonts w:ascii="Times New Roman" w:hAnsi="Times New Roman" w:cs="Times New Roman"/>
                <w:sz w:val="24"/>
                <w:szCs w:val="24"/>
              </w:rPr>
              <w:t xml:space="preserve">Олеся Теплоухова </w:t>
            </w:r>
          </w:p>
        </w:tc>
        <w:tc>
          <w:tcPr>
            <w:tcW w:w="4483" w:type="dxa"/>
          </w:tcPr>
          <w:p w:rsidR="00B07E61" w:rsidRPr="005F1178" w:rsidRDefault="00691BEC" w:rsidP="003B292E">
            <w:pPr>
              <w:jc w:val="both"/>
              <w:rPr>
                <w:rFonts w:ascii="Times New Roman" w:hAnsi="Times New Roman" w:cs="Times New Roman"/>
                <w:sz w:val="24"/>
                <w:szCs w:val="24"/>
              </w:rPr>
            </w:pPr>
            <w:r>
              <w:rPr>
                <w:rFonts w:ascii="Times New Roman" w:hAnsi="Times New Roman" w:cs="Times New Roman"/>
                <w:sz w:val="24"/>
                <w:szCs w:val="24"/>
              </w:rPr>
              <w:t>ч</w:t>
            </w:r>
            <w:r w:rsidR="009568F3" w:rsidRPr="005F1178">
              <w:rPr>
                <w:rFonts w:ascii="Times New Roman" w:hAnsi="Times New Roman" w:cs="Times New Roman"/>
                <w:sz w:val="24"/>
                <w:szCs w:val="24"/>
              </w:rPr>
              <w:t xml:space="preserve">лен </w:t>
            </w:r>
            <w:r>
              <w:rPr>
                <w:rFonts w:ascii="Times New Roman" w:hAnsi="Times New Roman" w:cs="Times New Roman"/>
                <w:sz w:val="24"/>
                <w:szCs w:val="24"/>
              </w:rPr>
              <w:t>п</w:t>
            </w:r>
            <w:r w:rsidR="009568F3" w:rsidRPr="005F1178">
              <w:rPr>
                <w:rFonts w:ascii="Times New Roman" w:hAnsi="Times New Roman" w:cs="Times New Roman"/>
                <w:sz w:val="24"/>
                <w:szCs w:val="24"/>
              </w:rPr>
              <w:t>равления</w:t>
            </w:r>
            <w:r>
              <w:rPr>
                <w:rFonts w:ascii="Times New Roman" w:hAnsi="Times New Roman" w:cs="Times New Roman"/>
                <w:sz w:val="24"/>
                <w:szCs w:val="24"/>
              </w:rPr>
              <w:t>, з</w:t>
            </w:r>
            <w:r w:rsidR="009568F3" w:rsidRPr="005F1178">
              <w:rPr>
                <w:rFonts w:ascii="Times New Roman" w:hAnsi="Times New Roman" w:cs="Times New Roman"/>
                <w:sz w:val="24"/>
                <w:szCs w:val="24"/>
              </w:rPr>
              <w:t xml:space="preserve">аместитель </w:t>
            </w:r>
            <w:r>
              <w:rPr>
                <w:rFonts w:ascii="Times New Roman" w:hAnsi="Times New Roman" w:cs="Times New Roman"/>
                <w:sz w:val="24"/>
                <w:szCs w:val="24"/>
              </w:rPr>
              <w:t>п</w:t>
            </w:r>
            <w:r w:rsidR="009568F3" w:rsidRPr="005F1178">
              <w:rPr>
                <w:rFonts w:ascii="Times New Roman" w:hAnsi="Times New Roman" w:cs="Times New Roman"/>
                <w:sz w:val="24"/>
                <w:szCs w:val="24"/>
              </w:rPr>
              <w:t xml:space="preserve">редседателя </w:t>
            </w:r>
            <w:r>
              <w:rPr>
                <w:rFonts w:ascii="Times New Roman" w:hAnsi="Times New Roman" w:cs="Times New Roman"/>
                <w:sz w:val="24"/>
                <w:szCs w:val="24"/>
              </w:rPr>
              <w:t>п</w:t>
            </w:r>
            <w:r w:rsidR="009568F3" w:rsidRPr="005F1178">
              <w:rPr>
                <w:rFonts w:ascii="Times New Roman" w:hAnsi="Times New Roman" w:cs="Times New Roman"/>
                <w:sz w:val="24"/>
                <w:szCs w:val="24"/>
              </w:rPr>
              <w:t>равления ОАО «МСП Банк»</w:t>
            </w:r>
          </w:p>
        </w:tc>
      </w:tr>
      <w:tr w:rsidR="009568F3" w:rsidRPr="005F1178" w:rsidTr="003B292E">
        <w:tc>
          <w:tcPr>
            <w:tcW w:w="4414" w:type="dxa"/>
          </w:tcPr>
          <w:p w:rsidR="00B07E61" w:rsidRPr="005F1178" w:rsidRDefault="00B07E61" w:rsidP="003B292E">
            <w:pPr>
              <w:jc w:val="both"/>
              <w:rPr>
                <w:rFonts w:ascii="Times New Roman" w:hAnsi="Times New Roman" w:cs="Times New Roman"/>
                <w:sz w:val="24"/>
                <w:szCs w:val="24"/>
              </w:rPr>
            </w:pPr>
            <w:proofErr w:type="spellStart"/>
            <w:r w:rsidRPr="005F1178">
              <w:rPr>
                <w:rFonts w:ascii="Times New Roman" w:hAnsi="Times New Roman" w:cs="Times New Roman"/>
                <w:sz w:val="24"/>
                <w:szCs w:val="24"/>
              </w:rPr>
              <w:t>Надия</w:t>
            </w:r>
            <w:proofErr w:type="spellEnd"/>
            <w:r w:rsidRPr="005F1178">
              <w:rPr>
                <w:rFonts w:ascii="Times New Roman" w:hAnsi="Times New Roman" w:cs="Times New Roman"/>
                <w:sz w:val="24"/>
                <w:szCs w:val="24"/>
              </w:rPr>
              <w:t xml:space="preserve"> Черкасова</w:t>
            </w:r>
          </w:p>
        </w:tc>
        <w:tc>
          <w:tcPr>
            <w:tcW w:w="4483" w:type="dxa"/>
          </w:tcPr>
          <w:p w:rsidR="00B07E61" w:rsidRPr="005F1178" w:rsidRDefault="00691BEC" w:rsidP="003B292E">
            <w:pPr>
              <w:jc w:val="both"/>
              <w:rPr>
                <w:rFonts w:ascii="Times New Roman" w:hAnsi="Times New Roman" w:cs="Times New Roman"/>
                <w:bCs/>
                <w:sz w:val="24"/>
                <w:szCs w:val="24"/>
              </w:rPr>
            </w:pPr>
            <w:r>
              <w:rPr>
                <w:rFonts w:ascii="Times New Roman" w:hAnsi="Times New Roman" w:cs="Times New Roman"/>
                <w:bCs/>
                <w:sz w:val="24"/>
                <w:szCs w:val="24"/>
              </w:rPr>
              <w:t>ч</w:t>
            </w:r>
            <w:r w:rsidR="009568F3" w:rsidRPr="005F1178">
              <w:rPr>
                <w:rFonts w:ascii="Times New Roman" w:hAnsi="Times New Roman" w:cs="Times New Roman"/>
                <w:bCs/>
                <w:sz w:val="24"/>
                <w:szCs w:val="24"/>
              </w:rPr>
              <w:t xml:space="preserve">лен </w:t>
            </w:r>
            <w:r>
              <w:rPr>
                <w:rFonts w:ascii="Times New Roman" w:hAnsi="Times New Roman" w:cs="Times New Roman"/>
                <w:bCs/>
                <w:sz w:val="24"/>
                <w:szCs w:val="24"/>
              </w:rPr>
              <w:t>с</w:t>
            </w:r>
            <w:r w:rsidR="009568F3" w:rsidRPr="005F1178">
              <w:rPr>
                <w:rFonts w:ascii="Times New Roman" w:hAnsi="Times New Roman" w:cs="Times New Roman"/>
                <w:bCs/>
                <w:sz w:val="24"/>
                <w:szCs w:val="24"/>
              </w:rPr>
              <w:t>овета директоров,  управляющий директор банка «ТРАСТ»</w:t>
            </w:r>
          </w:p>
          <w:p w:rsidR="009568F3" w:rsidRPr="005F1178" w:rsidRDefault="009568F3" w:rsidP="003B292E">
            <w:pPr>
              <w:jc w:val="both"/>
              <w:rPr>
                <w:rFonts w:ascii="Times New Roman" w:hAnsi="Times New Roman" w:cs="Times New Roman"/>
                <w:sz w:val="24"/>
                <w:szCs w:val="24"/>
              </w:rPr>
            </w:pPr>
          </w:p>
        </w:tc>
      </w:tr>
    </w:tbl>
    <w:p w:rsidR="00B764A6" w:rsidRPr="005F1178" w:rsidRDefault="00B764A6" w:rsidP="00B764A6">
      <w:pPr>
        <w:jc w:val="both"/>
        <w:rPr>
          <w:rFonts w:ascii="Times New Roman" w:hAnsi="Times New Roman" w:cs="Times New Roman"/>
          <w:sz w:val="24"/>
          <w:szCs w:val="24"/>
        </w:rPr>
      </w:pPr>
    </w:p>
    <w:p w:rsidR="00B764A6" w:rsidRPr="005F1178" w:rsidRDefault="00B764A6" w:rsidP="00B764A6">
      <w:pPr>
        <w:autoSpaceDE w:val="0"/>
        <w:autoSpaceDN w:val="0"/>
        <w:adjustRightInd w:val="0"/>
        <w:ind w:firstLine="708"/>
        <w:jc w:val="both"/>
        <w:rPr>
          <w:rFonts w:ascii="Times New Roman" w:hAnsi="Times New Roman" w:cs="Times New Roman"/>
          <w:sz w:val="24"/>
          <w:szCs w:val="24"/>
        </w:rPr>
      </w:pPr>
      <w:r w:rsidRPr="005F1178">
        <w:rPr>
          <w:rFonts w:ascii="Times New Roman" w:hAnsi="Times New Roman" w:cs="Times New Roman"/>
          <w:sz w:val="24"/>
          <w:szCs w:val="24"/>
        </w:rPr>
        <w:t>Полный те</w:t>
      </w:r>
      <w:proofErr w:type="gramStart"/>
      <w:r w:rsidRPr="005F1178">
        <w:rPr>
          <w:rFonts w:ascii="Times New Roman" w:hAnsi="Times New Roman" w:cs="Times New Roman"/>
          <w:sz w:val="24"/>
          <w:szCs w:val="24"/>
        </w:rPr>
        <w:t>кст вс</w:t>
      </w:r>
      <w:proofErr w:type="gramEnd"/>
      <w:r w:rsidRPr="005F1178">
        <w:rPr>
          <w:rFonts w:ascii="Times New Roman" w:hAnsi="Times New Roman" w:cs="Times New Roman"/>
          <w:sz w:val="24"/>
          <w:szCs w:val="24"/>
        </w:rPr>
        <w:t xml:space="preserve">ех интервью читайте на сайте </w:t>
      </w:r>
      <w:hyperlink r:id="rId9" w:history="1">
        <w:r w:rsidRPr="005F1178">
          <w:rPr>
            <w:rFonts w:ascii="Times New Roman" w:hAnsi="Times New Roman" w:cs="Times New Roman"/>
            <w:sz w:val="24"/>
            <w:szCs w:val="24"/>
          </w:rPr>
          <w:t>www.raexpert.ru</w:t>
        </w:r>
      </w:hyperlink>
      <w:r w:rsidRPr="005F1178">
        <w:rPr>
          <w:rFonts w:ascii="Times New Roman" w:hAnsi="Times New Roman" w:cs="Times New Roman"/>
          <w:sz w:val="24"/>
          <w:szCs w:val="24"/>
        </w:rPr>
        <w:t xml:space="preserve"> с </w:t>
      </w:r>
      <w:r w:rsidR="00356A88" w:rsidRPr="005F1178">
        <w:rPr>
          <w:rFonts w:ascii="Times New Roman" w:hAnsi="Times New Roman" w:cs="Times New Roman"/>
          <w:sz w:val="24"/>
          <w:szCs w:val="24"/>
        </w:rPr>
        <w:t>01.05.2013</w:t>
      </w:r>
      <w:r w:rsidRPr="005F1178">
        <w:rPr>
          <w:rFonts w:ascii="Times New Roman" w:hAnsi="Times New Roman" w:cs="Times New Roman"/>
          <w:sz w:val="24"/>
          <w:szCs w:val="24"/>
        </w:rPr>
        <w:t>.</w:t>
      </w:r>
    </w:p>
    <w:p w:rsidR="00356A88" w:rsidRPr="005F1178" w:rsidRDefault="00B764A6" w:rsidP="00ED37B0">
      <w:pPr>
        <w:autoSpaceDE w:val="0"/>
        <w:autoSpaceDN w:val="0"/>
        <w:adjustRightInd w:val="0"/>
        <w:ind w:firstLine="708"/>
        <w:jc w:val="both"/>
        <w:rPr>
          <w:rFonts w:ascii="Times New Roman" w:hAnsi="Times New Roman" w:cs="Times New Roman"/>
          <w:sz w:val="24"/>
          <w:szCs w:val="24"/>
        </w:rPr>
      </w:pPr>
      <w:r w:rsidRPr="005F1178">
        <w:rPr>
          <w:rFonts w:ascii="Times New Roman" w:hAnsi="Times New Roman" w:cs="Times New Roman"/>
          <w:sz w:val="24"/>
          <w:szCs w:val="24"/>
        </w:rPr>
        <w:t>Выражаем признательность всем банкам и спикерам за интерес, проявленный к нашему исследованию.</w:t>
      </w:r>
      <w:r w:rsidR="00356A88" w:rsidRPr="005F1178">
        <w:rPr>
          <w:rFonts w:ascii="Times New Roman" w:hAnsi="Times New Roman" w:cs="Times New Roman"/>
          <w:b/>
          <w:sz w:val="24"/>
          <w:szCs w:val="24"/>
        </w:rPr>
        <w:br w:type="page"/>
      </w:r>
    </w:p>
    <w:p w:rsidR="00C14B4D" w:rsidRPr="005F1178" w:rsidRDefault="00C14B4D" w:rsidP="00C14B4D">
      <w:pPr>
        <w:rPr>
          <w:rFonts w:ascii="Arial" w:hAnsi="Arial" w:cs="Arial"/>
          <w:b/>
          <w:sz w:val="28"/>
          <w:szCs w:val="28"/>
        </w:rPr>
      </w:pPr>
      <w:r w:rsidRPr="005F1178">
        <w:rPr>
          <w:rFonts w:ascii="Arial" w:hAnsi="Arial" w:cs="Arial"/>
          <w:b/>
          <w:sz w:val="28"/>
          <w:szCs w:val="28"/>
        </w:rPr>
        <w:lastRenderedPageBreak/>
        <w:t>Объем и динамика рынка: комиссионный акцент</w:t>
      </w:r>
    </w:p>
    <w:p w:rsidR="003631A5"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Портфель кредитов МСБ вырос в 2012 году на 17%</w:t>
      </w:r>
      <w:r w:rsidR="008E482B">
        <w:rPr>
          <w:rFonts w:ascii="Times New Roman" w:hAnsi="Times New Roman"/>
          <w:sz w:val="24"/>
          <w:szCs w:val="24"/>
          <w:lang w:eastAsia="ru-RU"/>
        </w:rPr>
        <w:t>,</w:t>
      </w:r>
      <w:r w:rsidRPr="005F1178">
        <w:rPr>
          <w:rFonts w:ascii="Times New Roman" w:hAnsi="Times New Roman"/>
          <w:sz w:val="24"/>
          <w:szCs w:val="24"/>
          <w:lang w:eastAsia="ru-RU"/>
        </w:rPr>
        <w:t xml:space="preserve"> до 4,5 </w:t>
      </w:r>
      <w:proofErr w:type="gramStart"/>
      <w:r w:rsidRPr="005F1178">
        <w:rPr>
          <w:rFonts w:ascii="Times New Roman" w:hAnsi="Times New Roman"/>
          <w:sz w:val="24"/>
          <w:szCs w:val="24"/>
          <w:lang w:eastAsia="ru-RU"/>
        </w:rPr>
        <w:t>трлн</w:t>
      </w:r>
      <w:proofErr w:type="gramEnd"/>
      <w:r w:rsidRPr="005F1178">
        <w:rPr>
          <w:rFonts w:ascii="Times New Roman" w:hAnsi="Times New Roman"/>
          <w:sz w:val="24"/>
          <w:szCs w:val="24"/>
          <w:lang w:eastAsia="ru-RU"/>
        </w:rPr>
        <w:t xml:space="preserve"> </w:t>
      </w:r>
      <w:r w:rsidR="008E482B">
        <w:rPr>
          <w:rFonts w:ascii="Times New Roman" w:hAnsi="Times New Roman"/>
          <w:sz w:val="24"/>
          <w:szCs w:val="24"/>
          <w:lang w:eastAsia="ru-RU"/>
        </w:rPr>
        <w:t>р</w:t>
      </w:r>
      <w:r w:rsidRPr="005F1178">
        <w:rPr>
          <w:rFonts w:ascii="Times New Roman" w:hAnsi="Times New Roman"/>
          <w:sz w:val="24"/>
          <w:szCs w:val="24"/>
          <w:lang w:eastAsia="ru-RU"/>
        </w:rPr>
        <w:t>уб</w:t>
      </w:r>
      <w:r w:rsidR="008E482B">
        <w:rPr>
          <w:rFonts w:ascii="Times New Roman" w:hAnsi="Times New Roman"/>
          <w:sz w:val="24"/>
          <w:szCs w:val="24"/>
          <w:lang w:eastAsia="ru-RU"/>
        </w:rPr>
        <w:t>лей,</w:t>
      </w:r>
      <w:r w:rsidRPr="005F1178">
        <w:rPr>
          <w:rFonts w:ascii="Times New Roman" w:hAnsi="Times New Roman"/>
          <w:sz w:val="24"/>
          <w:szCs w:val="24"/>
          <w:lang w:eastAsia="ru-RU"/>
        </w:rPr>
        <w:t xml:space="preserve"> против </w:t>
      </w:r>
      <w:r w:rsidRPr="005F1178">
        <w:rPr>
          <w:rFonts w:ascii="Times New Roman" w:hAnsi="Times New Roman" w:cs="Times New Roman"/>
          <w:sz w:val="24"/>
          <w:szCs w:val="24"/>
        </w:rPr>
        <w:t>19% и 22 в 2012-м и 2011-м соответственно.</w:t>
      </w:r>
      <w:r w:rsidRPr="005F1178">
        <w:rPr>
          <w:rFonts w:ascii="Times New Roman" w:hAnsi="Times New Roman" w:cs="Times New Roman"/>
          <w:b/>
          <w:sz w:val="24"/>
          <w:szCs w:val="24"/>
        </w:rPr>
        <w:t xml:space="preserve"> </w:t>
      </w:r>
      <w:r w:rsidRPr="005F1178">
        <w:rPr>
          <w:rFonts w:ascii="Times New Roman" w:hAnsi="Times New Roman" w:cs="Times New Roman"/>
          <w:sz w:val="24"/>
          <w:szCs w:val="24"/>
        </w:rPr>
        <w:t>Это заметно лучше результатов кредитования крупного бизнеса (+11%), однако более чем в два раза отстает от динамики розничного сегмента (+39%).</w:t>
      </w:r>
      <w:r w:rsidRPr="005F1178">
        <w:rPr>
          <w:rFonts w:ascii="Times New Roman" w:hAnsi="Times New Roman" w:cs="Times New Roman"/>
          <w:b/>
          <w:sz w:val="24"/>
          <w:szCs w:val="24"/>
        </w:rPr>
        <w:t xml:space="preserve"> </w:t>
      </w:r>
      <w:r w:rsidRPr="005F1178">
        <w:rPr>
          <w:rFonts w:ascii="Times New Roman" w:hAnsi="Times New Roman"/>
          <w:sz w:val="24"/>
          <w:szCs w:val="24"/>
          <w:lang w:eastAsia="ru-RU"/>
        </w:rPr>
        <w:t xml:space="preserve">Основными факторами торможения кредитования МСБ стали снижение </w:t>
      </w:r>
      <w:proofErr w:type="gramStart"/>
      <w:r w:rsidRPr="005F1178">
        <w:rPr>
          <w:rFonts w:ascii="Times New Roman" w:hAnsi="Times New Roman"/>
          <w:sz w:val="24"/>
          <w:szCs w:val="24"/>
          <w:lang w:eastAsia="ru-RU"/>
        </w:rPr>
        <w:t>аппетита банков к риску</w:t>
      </w:r>
      <w:proofErr w:type="gramEnd"/>
      <w:r w:rsidRPr="005F1178">
        <w:rPr>
          <w:rFonts w:ascii="Times New Roman" w:hAnsi="Times New Roman"/>
          <w:sz w:val="24"/>
          <w:szCs w:val="24"/>
          <w:lang w:eastAsia="ru-RU"/>
        </w:rPr>
        <w:t xml:space="preserve"> (ударило, в первую очередь, по среднему бизнесу), рост фискальной нагрузки на малый бизнес и </w:t>
      </w:r>
      <w:r w:rsidR="0070637A" w:rsidRPr="005F1178">
        <w:rPr>
          <w:rFonts w:ascii="Times New Roman" w:hAnsi="Times New Roman"/>
          <w:sz w:val="24"/>
          <w:szCs w:val="24"/>
          <w:lang w:eastAsia="ru-RU"/>
        </w:rPr>
        <w:t>замедление</w:t>
      </w:r>
      <w:r w:rsidRPr="005F1178">
        <w:rPr>
          <w:rFonts w:ascii="Times New Roman" w:hAnsi="Times New Roman"/>
          <w:sz w:val="24"/>
          <w:szCs w:val="24"/>
          <w:lang w:eastAsia="ru-RU"/>
        </w:rPr>
        <w:t xml:space="preserve"> в экономике. Новации Банка России в инструкцию 139-И негативно отразились на кредитовани</w:t>
      </w:r>
      <w:r w:rsidR="008E482B">
        <w:rPr>
          <w:rFonts w:ascii="Times New Roman" w:hAnsi="Times New Roman"/>
          <w:sz w:val="24"/>
          <w:szCs w:val="24"/>
          <w:lang w:eastAsia="ru-RU"/>
        </w:rPr>
        <w:t>и</w:t>
      </w:r>
      <w:r w:rsidRPr="005F1178">
        <w:rPr>
          <w:rFonts w:ascii="Times New Roman" w:hAnsi="Times New Roman"/>
          <w:sz w:val="24"/>
          <w:szCs w:val="24"/>
          <w:lang w:eastAsia="ru-RU"/>
        </w:rPr>
        <w:t xml:space="preserve"> организаций в целом – под повышающие коэффициенты при расчете Н</w:t>
      </w:r>
      <w:proofErr w:type="gramStart"/>
      <w:r w:rsidRPr="005F1178">
        <w:rPr>
          <w:rFonts w:ascii="Times New Roman" w:hAnsi="Times New Roman"/>
          <w:sz w:val="24"/>
          <w:szCs w:val="24"/>
          <w:lang w:eastAsia="ru-RU"/>
        </w:rPr>
        <w:t>1</w:t>
      </w:r>
      <w:proofErr w:type="gramEnd"/>
      <w:r w:rsidRPr="005F1178">
        <w:rPr>
          <w:rFonts w:ascii="Times New Roman" w:hAnsi="Times New Roman"/>
          <w:sz w:val="24"/>
          <w:szCs w:val="24"/>
          <w:lang w:eastAsia="ru-RU"/>
        </w:rPr>
        <w:t xml:space="preserve"> попали кредиты крупному и среднему бизнесу. </w:t>
      </w:r>
    </w:p>
    <w:p w:rsidR="00846612" w:rsidRPr="005F1178" w:rsidRDefault="00846612" w:rsidP="00846612">
      <w:pPr>
        <w:jc w:val="center"/>
        <w:rPr>
          <w:rFonts w:ascii="Times New Roman" w:hAnsi="Times New Roman" w:cs="Times New Roman"/>
          <w:sz w:val="24"/>
          <w:szCs w:val="24"/>
        </w:rPr>
      </w:pPr>
      <w:r w:rsidRPr="005F1178">
        <w:rPr>
          <w:rFonts w:ascii="Times New Roman" w:hAnsi="Times New Roman" w:cs="Times New Roman"/>
          <w:sz w:val="24"/>
          <w:szCs w:val="24"/>
        </w:rPr>
        <w:t>График</w:t>
      </w:r>
      <w:r w:rsidRPr="003631A5">
        <w:rPr>
          <w:rFonts w:ascii="Times New Roman" w:hAnsi="Times New Roman" w:cs="Times New Roman"/>
          <w:sz w:val="24"/>
          <w:szCs w:val="24"/>
        </w:rPr>
        <w:t xml:space="preserve"> 1</w:t>
      </w:r>
      <w:r w:rsidRPr="005F1178">
        <w:rPr>
          <w:rFonts w:ascii="Times New Roman" w:hAnsi="Times New Roman" w:cs="Times New Roman"/>
          <w:sz w:val="24"/>
          <w:szCs w:val="24"/>
        </w:rPr>
        <w:t>. Темп прироста портфелей МСБ сократился в 2012 году на 2 п.</w:t>
      </w:r>
      <w:r w:rsidR="008E482B">
        <w:rPr>
          <w:rFonts w:ascii="Times New Roman" w:hAnsi="Times New Roman" w:cs="Times New Roman"/>
          <w:sz w:val="24"/>
          <w:szCs w:val="24"/>
        </w:rPr>
        <w:t xml:space="preserve"> </w:t>
      </w:r>
      <w:r w:rsidRPr="005F1178">
        <w:rPr>
          <w:rFonts w:ascii="Times New Roman" w:hAnsi="Times New Roman" w:cs="Times New Roman"/>
          <w:sz w:val="24"/>
          <w:szCs w:val="24"/>
        </w:rPr>
        <w:t>п.</w:t>
      </w:r>
    </w:p>
    <w:p w:rsidR="00846612" w:rsidRPr="005F1178" w:rsidRDefault="00846612" w:rsidP="00846612">
      <w:pPr>
        <w:jc w:val="both"/>
        <w:rPr>
          <w:i/>
        </w:rPr>
      </w:pPr>
      <w:r w:rsidRPr="005F1178">
        <w:rPr>
          <w:noProof/>
          <w:lang w:eastAsia="ru-RU"/>
        </w:rPr>
        <w:drawing>
          <wp:inline distT="0" distB="0" distL="0" distR="0" wp14:anchorId="5F7A4DA8" wp14:editId="72020CFB">
            <wp:extent cx="5940425" cy="3445069"/>
            <wp:effectExtent l="0" t="0" r="3175"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445069"/>
                    </a:xfrm>
                    <a:prstGeom prst="rect">
                      <a:avLst/>
                    </a:prstGeom>
                    <a:noFill/>
                    <a:ln>
                      <a:noFill/>
                    </a:ln>
                  </pic:spPr>
                </pic:pic>
              </a:graphicData>
            </a:graphic>
          </wp:inline>
        </w:drawing>
      </w:r>
    </w:p>
    <w:p w:rsidR="00846612" w:rsidRPr="005F1178" w:rsidRDefault="00846612" w:rsidP="00846612">
      <w:pPr>
        <w:tabs>
          <w:tab w:val="num" w:pos="1440"/>
        </w:tabs>
        <w:jc w:val="right"/>
        <w:rPr>
          <w:i/>
          <w:sz w:val="20"/>
          <w:szCs w:val="20"/>
        </w:rPr>
      </w:pPr>
      <w:r w:rsidRPr="005F1178">
        <w:tab/>
      </w:r>
      <w:r w:rsidRPr="005F1178">
        <w:rPr>
          <w:b/>
          <w:i/>
          <w:sz w:val="20"/>
          <w:szCs w:val="20"/>
        </w:rPr>
        <w:t>Источник:</w:t>
      </w:r>
      <w:r w:rsidRPr="005F1178">
        <w:rPr>
          <w:i/>
          <w:sz w:val="20"/>
          <w:szCs w:val="20"/>
        </w:rPr>
        <w:t xml:space="preserve"> оценка «Эксперта РА» по данным Банка России</w:t>
      </w:r>
    </w:p>
    <w:p w:rsidR="00846612" w:rsidRDefault="00846612"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noProof/>
          <w:sz w:val="24"/>
          <w:szCs w:val="24"/>
          <w:lang w:eastAsia="ru-RU"/>
        </w:rPr>
        <mc:AlternateContent>
          <mc:Choice Requires="wps">
            <w:drawing>
              <wp:anchor distT="0" distB="0" distL="114300" distR="114300" simplePos="0" relativeHeight="251669504" behindDoc="1" locked="0" layoutInCell="1" allowOverlap="1" wp14:anchorId="53B8E90D" wp14:editId="77D178E7">
                <wp:simplePos x="0" y="0"/>
                <wp:positionH relativeFrom="column">
                  <wp:posOffset>2999105</wp:posOffset>
                </wp:positionH>
                <wp:positionV relativeFrom="paragraph">
                  <wp:posOffset>180975</wp:posOffset>
                </wp:positionV>
                <wp:extent cx="2667000" cy="2354580"/>
                <wp:effectExtent l="0" t="0" r="0" b="7620"/>
                <wp:wrapTight wrapText="bothSides">
                  <wp:wrapPolygon edited="0">
                    <wp:start x="0" y="0"/>
                    <wp:lineTo x="0" y="21495"/>
                    <wp:lineTo x="21446" y="21495"/>
                    <wp:lineTo x="21446"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545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B46" w:rsidRPr="00EB270A" w:rsidRDefault="00925B46" w:rsidP="003631A5">
                            <w:pPr>
                              <w:jc w:val="both"/>
                              <w:rPr>
                                <w:rFonts w:ascii="Times New Roman" w:hAnsi="Times New Roman" w:cs="Times New Roman"/>
                                <w:sz w:val="24"/>
                                <w:szCs w:val="24"/>
                              </w:rPr>
                            </w:pPr>
                            <w:r w:rsidRPr="00EB270A">
                              <w:rPr>
                                <w:rFonts w:ascii="Times New Roman" w:hAnsi="Times New Roman" w:cs="Times New Roman"/>
                                <w:b/>
                                <w:sz w:val="24"/>
                                <w:szCs w:val="24"/>
                              </w:rPr>
                              <w:t>Андрей Петров</w:t>
                            </w:r>
                            <w:r>
                              <w:rPr>
                                <w:rFonts w:ascii="Times New Roman" w:hAnsi="Times New Roman" w:cs="Times New Roman"/>
                                <w:b/>
                                <w:sz w:val="24"/>
                                <w:szCs w:val="24"/>
                              </w:rPr>
                              <w:t xml:space="preserve">, </w:t>
                            </w:r>
                            <w:r>
                              <w:rPr>
                                <w:rFonts w:ascii="Times New Roman" w:hAnsi="Times New Roman" w:cs="Times New Roman"/>
                                <w:sz w:val="24"/>
                                <w:szCs w:val="24"/>
                              </w:rPr>
                              <w:t>н</w:t>
                            </w:r>
                            <w:r w:rsidRPr="005F1178">
                              <w:rPr>
                                <w:rFonts w:ascii="Times New Roman" w:hAnsi="Times New Roman" w:cs="Times New Roman"/>
                                <w:sz w:val="24"/>
                                <w:szCs w:val="24"/>
                              </w:rPr>
                              <w:t xml:space="preserve">ачальник управления малого бизнеса </w:t>
                            </w:r>
                            <w:r>
                              <w:rPr>
                                <w:rFonts w:ascii="Times New Roman" w:hAnsi="Times New Roman" w:cs="Times New Roman"/>
                                <w:sz w:val="24"/>
                                <w:szCs w:val="24"/>
                              </w:rPr>
                              <w:t>«</w:t>
                            </w:r>
                            <w:r w:rsidRPr="005F1178">
                              <w:rPr>
                                <w:rFonts w:ascii="Times New Roman" w:hAnsi="Times New Roman" w:cs="Times New Roman"/>
                                <w:sz w:val="24"/>
                                <w:szCs w:val="24"/>
                              </w:rPr>
                              <w:t>Сбербанка России</w:t>
                            </w:r>
                            <w:r>
                              <w:rPr>
                                <w:rFonts w:ascii="Times New Roman" w:hAnsi="Times New Roman" w:cs="Times New Roman"/>
                                <w:sz w:val="24"/>
                                <w:szCs w:val="24"/>
                              </w:rPr>
                              <w:t>»,</w:t>
                            </w:r>
                            <w:r w:rsidRPr="00EB270A">
                              <w:rPr>
                                <w:rFonts w:ascii="Times New Roman" w:hAnsi="Times New Roman" w:cs="Times New Roman"/>
                                <w:b/>
                                <w:sz w:val="24"/>
                                <w:szCs w:val="24"/>
                              </w:rPr>
                              <w:t xml:space="preserve"> о </w:t>
                            </w:r>
                            <w:r>
                              <w:rPr>
                                <w:rFonts w:ascii="Times New Roman" w:hAnsi="Times New Roman" w:cs="Times New Roman"/>
                                <w:b/>
                                <w:sz w:val="24"/>
                                <w:szCs w:val="24"/>
                              </w:rPr>
                              <w:t>кредитных фабриках</w:t>
                            </w:r>
                            <w:r w:rsidRPr="00EB270A">
                              <w:rPr>
                                <w:rFonts w:ascii="Times New Roman" w:hAnsi="Times New Roman" w:cs="Times New Roman"/>
                                <w:b/>
                                <w:sz w:val="24"/>
                                <w:szCs w:val="24"/>
                              </w:rPr>
                              <w:t xml:space="preserve">: </w:t>
                            </w:r>
                            <w:r w:rsidRPr="00EB270A">
                              <w:rPr>
                                <w:rFonts w:ascii="Times New Roman" w:hAnsi="Times New Roman" w:cs="Times New Roman"/>
                                <w:sz w:val="24"/>
                                <w:szCs w:val="24"/>
                              </w:rPr>
                              <w:t>«</w:t>
                            </w:r>
                            <w:r w:rsidRPr="005F1178">
                              <w:rPr>
                                <w:rFonts w:ascii="Times New Roman" w:hAnsi="Times New Roman" w:cs="Times New Roman"/>
                                <w:sz w:val="24"/>
                                <w:szCs w:val="24"/>
                              </w:rPr>
                              <w:t>В</w:t>
                            </w:r>
                            <w:r w:rsidRPr="005F1178">
                              <w:rPr>
                                <w:color w:val="FF0000"/>
                              </w:rPr>
                              <w:t xml:space="preserve"> </w:t>
                            </w:r>
                            <w:r w:rsidRPr="005F1178">
                              <w:rPr>
                                <w:rFonts w:ascii="Times New Roman" w:hAnsi="Times New Roman" w:cs="Times New Roman"/>
                                <w:sz w:val="24"/>
                                <w:szCs w:val="24"/>
                              </w:rPr>
                              <w:t xml:space="preserve">2012 году банки продолжили развитие </w:t>
                            </w:r>
                            <w:proofErr w:type="spellStart"/>
                            <w:r w:rsidRPr="005F1178">
                              <w:rPr>
                                <w:rFonts w:ascii="Times New Roman" w:hAnsi="Times New Roman" w:cs="Times New Roman"/>
                                <w:sz w:val="24"/>
                                <w:szCs w:val="24"/>
                              </w:rPr>
                              <w:t>скоринговых</w:t>
                            </w:r>
                            <w:proofErr w:type="spellEnd"/>
                            <w:r w:rsidRPr="005F1178">
                              <w:rPr>
                                <w:rFonts w:ascii="Times New Roman" w:hAnsi="Times New Roman" w:cs="Times New Roman"/>
                                <w:sz w:val="24"/>
                                <w:szCs w:val="24"/>
                              </w:rPr>
                              <w:t xml:space="preserve"> технологий кредитования клиентов </w:t>
                            </w:r>
                            <w:proofErr w:type="spellStart"/>
                            <w:r w:rsidRPr="005F1178">
                              <w:rPr>
                                <w:rFonts w:ascii="Times New Roman" w:hAnsi="Times New Roman" w:cs="Times New Roman"/>
                                <w:sz w:val="24"/>
                                <w:szCs w:val="24"/>
                              </w:rPr>
                              <w:t>микробизнеса</w:t>
                            </w:r>
                            <w:proofErr w:type="spellEnd"/>
                            <w:r w:rsidRPr="005F1178">
                              <w:rPr>
                                <w:rFonts w:ascii="Times New Roman" w:hAnsi="Times New Roman" w:cs="Times New Roman"/>
                                <w:sz w:val="24"/>
                                <w:szCs w:val="24"/>
                              </w:rPr>
                              <w:t xml:space="preserve"> как наиболее удобных для клиентов с точки </w:t>
                            </w:r>
                            <w:proofErr w:type="gramStart"/>
                            <w:r w:rsidRPr="005F1178">
                              <w:rPr>
                                <w:rFonts w:ascii="Times New Roman" w:hAnsi="Times New Roman" w:cs="Times New Roman"/>
                                <w:sz w:val="24"/>
                                <w:szCs w:val="24"/>
                              </w:rPr>
                              <w:t>зрения</w:t>
                            </w:r>
                            <w:proofErr w:type="gramEnd"/>
                            <w:r w:rsidRPr="005F1178">
                              <w:rPr>
                                <w:rFonts w:ascii="Times New Roman" w:hAnsi="Times New Roman" w:cs="Times New Roman"/>
                                <w:sz w:val="24"/>
                                <w:szCs w:val="24"/>
                              </w:rPr>
                              <w:t xml:space="preserve"> как скорости п</w:t>
                            </w:r>
                            <w:r>
                              <w:rPr>
                                <w:rFonts w:ascii="Times New Roman" w:hAnsi="Times New Roman" w:cs="Times New Roman"/>
                                <w:sz w:val="24"/>
                                <w:szCs w:val="24"/>
                              </w:rPr>
                              <w:t xml:space="preserve">олучения кредитов, так и объема </w:t>
                            </w:r>
                            <w:r w:rsidRPr="005F1178">
                              <w:rPr>
                                <w:rFonts w:ascii="Times New Roman" w:hAnsi="Times New Roman" w:cs="Times New Roman"/>
                                <w:sz w:val="24"/>
                                <w:szCs w:val="24"/>
                              </w:rPr>
                              <w:t>предоставляемых документов</w:t>
                            </w:r>
                            <w:r w:rsidRPr="00EB270A">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36.15pt;margin-top:14.25pt;width:210pt;height:18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" fillcolor="silver" stroked="f">
                <v:textbox>
                  <w:txbxContent>
                    <w:p w:rsidR="00925B46" w:rsidRPr="00EB270A" w:rsidRDefault="00925B46" w:rsidP="003631A5">
                      <w:pPr>
                        <w:jc w:val="both"/>
                        <w:rPr>
                          <w:rFonts w:ascii="Times New Roman" w:hAnsi="Times New Roman" w:cs="Times New Roman"/>
                          <w:sz w:val="24"/>
                          <w:szCs w:val="24"/>
                        </w:rPr>
                      </w:pPr>
                      <w:r w:rsidRPr="00EB270A">
                        <w:rPr>
                          <w:rFonts w:ascii="Times New Roman" w:hAnsi="Times New Roman" w:cs="Times New Roman"/>
                          <w:b/>
                          <w:sz w:val="24"/>
                          <w:szCs w:val="24"/>
                        </w:rPr>
                        <w:t>Андрей Петров</w:t>
                      </w:r>
                      <w:r>
                        <w:rPr>
                          <w:rFonts w:ascii="Times New Roman" w:hAnsi="Times New Roman" w:cs="Times New Roman"/>
                          <w:b/>
                          <w:sz w:val="24"/>
                          <w:szCs w:val="24"/>
                        </w:rPr>
                        <w:t xml:space="preserve">, </w:t>
                      </w:r>
                      <w:r>
                        <w:rPr>
                          <w:rFonts w:ascii="Times New Roman" w:hAnsi="Times New Roman" w:cs="Times New Roman"/>
                          <w:sz w:val="24"/>
                          <w:szCs w:val="24"/>
                        </w:rPr>
                        <w:t>н</w:t>
                      </w:r>
                      <w:r w:rsidRPr="005F1178">
                        <w:rPr>
                          <w:rFonts w:ascii="Times New Roman" w:hAnsi="Times New Roman" w:cs="Times New Roman"/>
                          <w:sz w:val="24"/>
                          <w:szCs w:val="24"/>
                        </w:rPr>
                        <w:t xml:space="preserve">ачальник управления малого бизнеса </w:t>
                      </w:r>
                      <w:r>
                        <w:rPr>
                          <w:rFonts w:ascii="Times New Roman" w:hAnsi="Times New Roman" w:cs="Times New Roman"/>
                          <w:sz w:val="24"/>
                          <w:szCs w:val="24"/>
                        </w:rPr>
                        <w:t>«</w:t>
                      </w:r>
                      <w:r w:rsidRPr="005F1178">
                        <w:rPr>
                          <w:rFonts w:ascii="Times New Roman" w:hAnsi="Times New Roman" w:cs="Times New Roman"/>
                          <w:sz w:val="24"/>
                          <w:szCs w:val="24"/>
                        </w:rPr>
                        <w:t>Сбербанка России</w:t>
                      </w:r>
                      <w:r>
                        <w:rPr>
                          <w:rFonts w:ascii="Times New Roman" w:hAnsi="Times New Roman" w:cs="Times New Roman"/>
                          <w:sz w:val="24"/>
                          <w:szCs w:val="24"/>
                        </w:rPr>
                        <w:t>»,</w:t>
                      </w:r>
                      <w:r w:rsidRPr="00EB270A">
                        <w:rPr>
                          <w:rFonts w:ascii="Times New Roman" w:hAnsi="Times New Roman" w:cs="Times New Roman"/>
                          <w:b/>
                          <w:sz w:val="24"/>
                          <w:szCs w:val="24"/>
                        </w:rPr>
                        <w:t xml:space="preserve"> о </w:t>
                      </w:r>
                      <w:r>
                        <w:rPr>
                          <w:rFonts w:ascii="Times New Roman" w:hAnsi="Times New Roman" w:cs="Times New Roman"/>
                          <w:b/>
                          <w:sz w:val="24"/>
                          <w:szCs w:val="24"/>
                        </w:rPr>
                        <w:t>кредитных фабриках</w:t>
                      </w:r>
                      <w:r w:rsidRPr="00EB270A">
                        <w:rPr>
                          <w:rFonts w:ascii="Times New Roman" w:hAnsi="Times New Roman" w:cs="Times New Roman"/>
                          <w:b/>
                          <w:sz w:val="24"/>
                          <w:szCs w:val="24"/>
                        </w:rPr>
                        <w:t xml:space="preserve">: </w:t>
                      </w:r>
                      <w:r w:rsidRPr="00EB270A">
                        <w:rPr>
                          <w:rFonts w:ascii="Times New Roman" w:hAnsi="Times New Roman" w:cs="Times New Roman"/>
                          <w:sz w:val="24"/>
                          <w:szCs w:val="24"/>
                        </w:rPr>
                        <w:t>«</w:t>
                      </w:r>
                      <w:r w:rsidRPr="005F1178">
                        <w:rPr>
                          <w:rFonts w:ascii="Times New Roman" w:hAnsi="Times New Roman" w:cs="Times New Roman"/>
                          <w:sz w:val="24"/>
                          <w:szCs w:val="24"/>
                        </w:rPr>
                        <w:t>В</w:t>
                      </w:r>
                      <w:r w:rsidRPr="005F1178">
                        <w:rPr>
                          <w:color w:val="FF0000"/>
                        </w:rPr>
                        <w:t xml:space="preserve"> </w:t>
                      </w:r>
                      <w:r w:rsidRPr="005F1178">
                        <w:rPr>
                          <w:rFonts w:ascii="Times New Roman" w:hAnsi="Times New Roman" w:cs="Times New Roman"/>
                          <w:sz w:val="24"/>
                          <w:szCs w:val="24"/>
                        </w:rPr>
                        <w:t xml:space="preserve">2012 году банки продолжили развитие </w:t>
                      </w:r>
                      <w:proofErr w:type="spellStart"/>
                      <w:r w:rsidRPr="005F1178">
                        <w:rPr>
                          <w:rFonts w:ascii="Times New Roman" w:hAnsi="Times New Roman" w:cs="Times New Roman"/>
                          <w:sz w:val="24"/>
                          <w:szCs w:val="24"/>
                        </w:rPr>
                        <w:t>скоринговых</w:t>
                      </w:r>
                      <w:proofErr w:type="spellEnd"/>
                      <w:r w:rsidRPr="005F1178">
                        <w:rPr>
                          <w:rFonts w:ascii="Times New Roman" w:hAnsi="Times New Roman" w:cs="Times New Roman"/>
                          <w:sz w:val="24"/>
                          <w:szCs w:val="24"/>
                        </w:rPr>
                        <w:t xml:space="preserve"> технологий кредитования клиентов </w:t>
                      </w:r>
                      <w:proofErr w:type="spellStart"/>
                      <w:r w:rsidRPr="005F1178">
                        <w:rPr>
                          <w:rFonts w:ascii="Times New Roman" w:hAnsi="Times New Roman" w:cs="Times New Roman"/>
                          <w:sz w:val="24"/>
                          <w:szCs w:val="24"/>
                        </w:rPr>
                        <w:t>микробизнеса</w:t>
                      </w:r>
                      <w:proofErr w:type="spellEnd"/>
                      <w:r w:rsidRPr="005F1178">
                        <w:rPr>
                          <w:rFonts w:ascii="Times New Roman" w:hAnsi="Times New Roman" w:cs="Times New Roman"/>
                          <w:sz w:val="24"/>
                          <w:szCs w:val="24"/>
                        </w:rPr>
                        <w:t xml:space="preserve"> как наиболее удобных для клиентов с точки </w:t>
                      </w:r>
                      <w:proofErr w:type="gramStart"/>
                      <w:r w:rsidRPr="005F1178">
                        <w:rPr>
                          <w:rFonts w:ascii="Times New Roman" w:hAnsi="Times New Roman" w:cs="Times New Roman"/>
                          <w:sz w:val="24"/>
                          <w:szCs w:val="24"/>
                        </w:rPr>
                        <w:t>зрения</w:t>
                      </w:r>
                      <w:proofErr w:type="gramEnd"/>
                      <w:r w:rsidRPr="005F1178">
                        <w:rPr>
                          <w:rFonts w:ascii="Times New Roman" w:hAnsi="Times New Roman" w:cs="Times New Roman"/>
                          <w:sz w:val="24"/>
                          <w:szCs w:val="24"/>
                        </w:rPr>
                        <w:t xml:space="preserve"> как скорости п</w:t>
                      </w:r>
                      <w:r>
                        <w:rPr>
                          <w:rFonts w:ascii="Times New Roman" w:hAnsi="Times New Roman" w:cs="Times New Roman"/>
                          <w:sz w:val="24"/>
                          <w:szCs w:val="24"/>
                        </w:rPr>
                        <w:t xml:space="preserve">олучения кредитов, так и объема </w:t>
                      </w:r>
                      <w:r w:rsidRPr="005F1178">
                        <w:rPr>
                          <w:rFonts w:ascii="Times New Roman" w:hAnsi="Times New Roman" w:cs="Times New Roman"/>
                          <w:sz w:val="24"/>
                          <w:szCs w:val="24"/>
                        </w:rPr>
                        <w:t>предоставляемых документов</w:t>
                      </w:r>
                      <w:r w:rsidRPr="00EB270A">
                        <w:rPr>
                          <w:rFonts w:ascii="Times New Roman" w:hAnsi="Times New Roman" w:cs="Times New Roman"/>
                          <w:sz w:val="24"/>
                          <w:szCs w:val="24"/>
                        </w:rPr>
                        <w:t>»</w:t>
                      </w:r>
                    </w:p>
                  </w:txbxContent>
                </v:textbox>
                <w10:wrap type="tight"/>
              </v:shape>
            </w:pict>
          </mc:Fallback>
        </mc:AlternateContent>
      </w:r>
    </w:p>
    <w:p w:rsidR="00C14B4D"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В результате многие крупные банки активизировались в сфере розницы</w:t>
      </w:r>
      <w:r w:rsidR="007D62BC">
        <w:rPr>
          <w:rFonts w:ascii="Times New Roman" w:hAnsi="Times New Roman"/>
          <w:sz w:val="24"/>
          <w:szCs w:val="24"/>
          <w:lang w:eastAsia="ru-RU"/>
        </w:rPr>
        <w:t>.</w:t>
      </w:r>
      <w:r w:rsidR="00EC3F51" w:rsidRPr="005F1178">
        <w:rPr>
          <w:rFonts w:ascii="Times New Roman" w:hAnsi="Times New Roman"/>
          <w:sz w:val="24"/>
          <w:szCs w:val="24"/>
          <w:lang w:eastAsia="ru-RU"/>
        </w:rPr>
        <w:t xml:space="preserve"> </w:t>
      </w:r>
      <w:r w:rsidR="007D62BC">
        <w:rPr>
          <w:rFonts w:ascii="Times New Roman" w:hAnsi="Times New Roman"/>
          <w:sz w:val="24"/>
          <w:szCs w:val="24"/>
          <w:lang w:eastAsia="ru-RU"/>
        </w:rPr>
        <w:t>Э</w:t>
      </w:r>
      <w:r w:rsidR="00EC3F51" w:rsidRPr="005F1178">
        <w:rPr>
          <w:rFonts w:ascii="Times New Roman" w:hAnsi="Times New Roman"/>
          <w:sz w:val="24"/>
          <w:szCs w:val="24"/>
          <w:lang w:eastAsia="ru-RU"/>
        </w:rPr>
        <w:t>тот</w:t>
      </w:r>
      <w:r w:rsidRPr="005F1178">
        <w:rPr>
          <w:rFonts w:ascii="Times New Roman" w:hAnsi="Times New Roman"/>
          <w:sz w:val="24"/>
          <w:szCs w:val="24"/>
          <w:lang w:eastAsia="ru-RU"/>
        </w:rPr>
        <w:t xml:space="preserve"> сегмент единственный давал возможность активно наращивать масштабы бизнеса без существенного ущерба для Н</w:t>
      </w:r>
      <w:proofErr w:type="gramStart"/>
      <w:r w:rsidRPr="005F1178">
        <w:rPr>
          <w:rFonts w:ascii="Times New Roman" w:hAnsi="Times New Roman"/>
          <w:sz w:val="24"/>
          <w:szCs w:val="24"/>
          <w:lang w:eastAsia="ru-RU"/>
        </w:rPr>
        <w:t>1</w:t>
      </w:r>
      <w:proofErr w:type="gramEnd"/>
      <w:r w:rsidRPr="005F1178">
        <w:rPr>
          <w:rFonts w:ascii="Times New Roman" w:hAnsi="Times New Roman"/>
          <w:sz w:val="24"/>
          <w:szCs w:val="24"/>
          <w:lang w:eastAsia="ru-RU"/>
        </w:rPr>
        <w:t xml:space="preserve">, при этом обеспечивая повышенную рентабельность. Охладил рынок кредитования МСБ и очередной виток роста непрозрачности малого бизнеса: в 2012 году выросла налоговая нагрузка на ИП (рост социальных страховых взносов), что привело к их массовому уходу </w:t>
      </w:r>
      <w:r w:rsidR="007D62BC">
        <w:rPr>
          <w:rFonts w:ascii="Times New Roman" w:hAnsi="Times New Roman"/>
          <w:sz w:val="24"/>
          <w:szCs w:val="24"/>
          <w:lang w:eastAsia="ru-RU"/>
        </w:rPr>
        <w:t>«</w:t>
      </w:r>
      <w:r w:rsidRPr="005F1178">
        <w:rPr>
          <w:rFonts w:ascii="Times New Roman" w:hAnsi="Times New Roman"/>
          <w:sz w:val="24"/>
          <w:szCs w:val="24"/>
          <w:lang w:eastAsia="ru-RU"/>
        </w:rPr>
        <w:t>в тень</w:t>
      </w:r>
      <w:r w:rsidR="007D62BC">
        <w:rPr>
          <w:rFonts w:ascii="Times New Roman" w:hAnsi="Times New Roman"/>
          <w:sz w:val="24"/>
          <w:szCs w:val="24"/>
          <w:lang w:eastAsia="ru-RU"/>
        </w:rPr>
        <w:t>»</w:t>
      </w:r>
      <w:r w:rsidRPr="005F1178">
        <w:rPr>
          <w:rFonts w:ascii="Times New Roman" w:hAnsi="Times New Roman"/>
          <w:sz w:val="24"/>
          <w:szCs w:val="24"/>
          <w:lang w:eastAsia="ru-RU"/>
        </w:rPr>
        <w:t xml:space="preserve">. Это </w:t>
      </w:r>
      <w:r w:rsidR="00E32B15" w:rsidRPr="005F1178">
        <w:rPr>
          <w:rFonts w:ascii="Times New Roman" w:hAnsi="Times New Roman"/>
          <w:sz w:val="24"/>
          <w:szCs w:val="24"/>
          <w:lang w:eastAsia="ru-RU"/>
        </w:rPr>
        <w:t>оказало давление на один</w:t>
      </w:r>
      <w:r w:rsidRPr="005F1178">
        <w:rPr>
          <w:rFonts w:ascii="Times New Roman" w:hAnsi="Times New Roman"/>
          <w:sz w:val="24"/>
          <w:szCs w:val="24"/>
          <w:lang w:eastAsia="ru-RU"/>
        </w:rPr>
        <w:t xml:space="preserve"> из самых динамичных </w:t>
      </w:r>
      <w:proofErr w:type="spellStart"/>
      <w:r w:rsidRPr="005F1178">
        <w:rPr>
          <w:rFonts w:ascii="Times New Roman" w:hAnsi="Times New Roman"/>
          <w:sz w:val="24"/>
          <w:szCs w:val="24"/>
          <w:lang w:eastAsia="ru-RU"/>
        </w:rPr>
        <w:t>подсегментов</w:t>
      </w:r>
      <w:proofErr w:type="spellEnd"/>
      <w:r w:rsidRPr="005F1178">
        <w:rPr>
          <w:rFonts w:ascii="Times New Roman" w:hAnsi="Times New Roman"/>
          <w:sz w:val="24"/>
          <w:szCs w:val="24"/>
          <w:lang w:eastAsia="ru-RU"/>
        </w:rPr>
        <w:t xml:space="preserve"> – кредитовани</w:t>
      </w:r>
      <w:r w:rsidR="00C663E6">
        <w:rPr>
          <w:rFonts w:ascii="Times New Roman" w:hAnsi="Times New Roman"/>
          <w:sz w:val="24"/>
          <w:szCs w:val="24"/>
          <w:lang w:eastAsia="ru-RU"/>
        </w:rPr>
        <w:t>е</w:t>
      </w:r>
      <w:r w:rsidRPr="005F1178">
        <w:rPr>
          <w:rFonts w:ascii="Times New Roman" w:hAnsi="Times New Roman"/>
          <w:sz w:val="24"/>
          <w:szCs w:val="24"/>
          <w:lang w:eastAsia="ru-RU"/>
        </w:rPr>
        <w:t xml:space="preserve"> малого </w:t>
      </w:r>
      <w:r w:rsidRPr="005F1178">
        <w:rPr>
          <w:rFonts w:ascii="Times New Roman" w:hAnsi="Times New Roman"/>
          <w:sz w:val="24"/>
          <w:szCs w:val="24"/>
          <w:lang w:eastAsia="ru-RU"/>
        </w:rPr>
        <w:lastRenderedPageBreak/>
        <w:t>бизнеса</w:t>
      </w:r>
      <w:r w:rsidR="00C663E6">
        <w:rPr>
          <w:rFonts w:ascii="Times New Roman" w:hAnsi="Times New Roman"/>
          <w:sz w:val="24"/>
          <w:szCs w:val="24"/>
          <w:lang w:eastAsia="ru-RU"/>
        </w:rPr>
        <w:t>.</w:t>
      </w:r>
      <w:r w:rsidRPr="005F1178">
        <w:rPr>
          <w:rFonts w:ascii="Times New Roman" w:hAnsi="Times New Roman"/>
          <w:sz w:val="24"/>
          <w:szCs w:val="24"/>
          <w:lang w:eastAsia="ru-RU"/>
        </w:rPr>
        <w:t xml:space="preserve"> </w:t>
      </w:r>
      <w:r w:rsidR="00C663E6">
        <w:rPr>
          <w:rFonts w:ascii="Times New Roman" w:hAnsi="Times New Roman"/>
          <w:sz w:val="24"/>
          <w:szCs w:val="24"/>
          <w:lang w:eastAsia="ru-RU"/>
        </w:rPr>
        <w:t>Б</w:t>
      </w:r>
      <w:r w:rsidRPr="005F1178">
        <w:rPr>
          <w:rFonts w:ascii="Times New Roman" w:hAnsi="Times New Roman"/>
          <w:sz w:val="24"/>
          <w:szCs w:val="24"/>
          <w:lang w:eastAsia="ru-RU"/>
        </w:rPr>
        <w:t xml:space="preserve">анки уже пересмотрели прогнозы </w:t>
      </w:r>
      <w:r w:rsidR="005511A9" w:rsidRPr="005F1178">
        <w:rPr>
          <w:rFonts w:ascii="Times New Roman" w:hAnsi="Times New Roman"/>
          <w:sz w:val="24"/>
          <w:szCs w:val="24"/>
          <w:lang w:eastAsia="ru-RU"/>
        </w:rPr>
        <w:t xml:space="preserve">по нему </w:t>
      </w:r>
      <w:r w:rsidRPr="005F1178">
        <w:rPr>
          <w:rFonts w:ascii="Times New Roman" w:hAnsi="Times New Roman"/>
          <w:sz w:val="24"/>
          <w:szCs w:val="24"/>
          <w:lang w:eastAsia="ru-RU"/>
        </w:rPr>
        <w:t>в сторону уменьшения.</w:t>
      </w:r>
      <w:r w:rsidR="00EB270A" w:rsidRPr="005F1178">
        <w:rPr>
          <w:rFonts w:ascii="Times New Roman" w:hAnsi="Times New Roman"/>
          <w:sz w:val="24"/>
          <w:szCs w:val="24"/>
          <w:lang w:eastAsia="ru-RU"/>
        </w:rPr>
        <w:t xml:space="preserve"> «Повышение ставок социальных взносов уже сказывается на количестве индивидуальных предпринимателей в целом, что должно иметь отложенный эффект и на объемы кредитования»,</w:t>
      </w:r>
      <w:r w:rsidR="00C663E6">
        <w:rPr>
          <w:rFonts w:ascii="Times New Roman" w:hAnsi="Times New Roman"/>
          <w:sz w:val="24"/>
          <w:szCs w:val="24"/>
          <w:lang w:eastAsia="ru-RU"/>
        </w:rPr>
        <w:t xml:space="preserve">– </w:t>
      </w:r>
      <w:r w:rsidR="00EB270A" w:rsidRPr="005F1178">
        <w:rPr>
          <w:rFonts w:ascii="Times New Roman" w:hAnsi="Times New Roman"/>
          <w:sz w:val="24"/>
          <w:szCs w:val="24"/>
          <w:lang w:eastAsia="ru-RU"/>
        </w:rPr>
        <w:t xml:space="preserve"> </w:t>
      </w:r>
      <w:r w:rsidR="005F1178" w:rsidRPr="005F1178">
        <w:rPr>
          <w:rFonts w:ascii="Times New Roman" w:hAnsi="Times New Roman"/>
          <w:sz w:val="24"/>
          <w:szCs w:val="24"/>
          <w:lang w:eastAsia="ru-RU"/>
        </w:rPr>
        <w:t>говорит</w:t>
      </w:r>
      <w:r w:rsidR="00EB270A" w:rsidRPr="005F1178">
        <w:rPr>
          <w:rFonts w:ascii="Times New Roman" w:hAnsi="Times New Roman"/>
          <w:sz w:val="24"/>
          <w:szCs w:val="24"/>
          <w:lang w:eastAsia="ru-RU"/>
        </w:rPr>
        <w:t xml:space="preserve"> Олеся Теплоухова, </w:t>
      </w:r>
      <w:r w:rsidR="00C663E6">
        <w:rPr>
          <w:rFonts w:ascii="Times New Roman" w:hAnsi="Times New Roman"/>
          <w:sz w:val="24"/>
          <w:szCs w:val="24"/>
          <w:lang w:eastAsia="ru-RU"/>
        </w:rPr>
        <w:t>ч</w:t>
      </w:r>
      <w:r w:rsidR="00EB270A" w:rsidRPr="005F1178">
        <w:rPr>
          <w:rFonts w:ascii="Times New Roman" w:hAnsi="Times New Roman"/>
          <w:sz w:val="24"/>
          <w:szCs w:val="24"/>
          <w:lang w:eastAsia="ru-RU"/>
        </w:rPr>
        <w:t xml:space="preserve">лен </w:t>
      </w:r>
      <w:r w:rsidR="00C663E6">
        <w:rPr>
          <w:rFonts w:ascii="Times New Roman" w:hAnsi="Times New Roman"/>
          <w:sz w:val="24"/>
          <w:szCs w:val="24"/>
          <w:lang w:eastAsia="ru-RU"/>
        </w:rPr>
        <w:t>п</w:t>
      </w:r>
      <w:r w:rsidR="00EB270A" w:rsidRPr="005F1178">
        <w:rPr>
          <w:rFonts w:ascii="Times New Roman" w:hAnsi="Times New Roman"/>
          <w:sz w:val="24"/>
          <w:szCs w:val="24"/>
          <w:lang w:eastAsia="ru-RU"/>
        </w:rPr>
        <w:t>равления</w:t>
      </w:r>
      <w:r w:rsidR="00C663E6">
        <w:rPr>
          <w:rFonts w:ascii="Times New Roman" w:hAnsi="Times New Roman"/>
          <w:sz w:val="24"/>
          <w:szCs w:val="24"/>
          <w:lang w:eastAsia="ru-RU"/>
        </w:rPr>
        <w:t>, з</w:t>
      </w:r>
      <w:r w:rsidR="00EB270A" w:rsidRPr="005F1178">
        <w:rPr>
          <w:rFonts w:ascii="Times New Roman" w:hAnsi="Times New Roman"/>
          <w:sz w:val="24"/>
          <w:szCs w:val="24"/>
          <w:lang w:eastAsia="ru-RU"/>
        </w:rPr>
        <w:t xml:space="preserve">аместитель </w:t>
      </w:r>
      <w:r w:rsidR="00C663E6">
        <w:rPr>
          <w:rFonts w:ascii="Times New Roman" w:hAnsi="Times New Roman"/>
          <w:sz w:val="24"/>
          <w:szCs w:val="24"/>
          <w:lang w:eastAsia="ru-RU"/>
        </w:rPr>
        <w:t>п</w:t>
      </w:r>
      <w:r w:rsidR="00EB270A" w:rsidRPr="005F1178">
        <w:rPr>
          <w:rFonts w:ascii="Times New Roman" w:hAnsi="Times New Roman"/>
          <w:sz w:val="24"/>
          <w:szCs w:val="24"/>
          <w:lang w:eastAsia="ru-RU"/>
        </w:rPr>
        <w:t xml:space="preserve">редседателя </w:t>
      </w:r>
      <w:r w:rsidR="00C663E6">
        <w:rPr>
          <w:rFonts w:ascii="Times New Roman" w:hAnsi="Times New Roman"/>
          <w:sz w:val="24"/>
          <w:szCs w:val="24"/>
          <w:lang w:eastAsia="ru-RU"/>
        </w:rPr>
        <w:t>п</w:t>
      </w:r>
      <w:r w:rsidR="00EB270A" w:rsidRPr="005F1178">
        <w:rPr>
          <w:rFonts w:ascii="Times New Roman" w:hAnsi="Times New Roman"/>
          <w:sz w:val="24"/>
          <w:szCs w:val="24"/>
          <w:lang w:eastAsia="ru-RU"/>
        </w:rPr>
        <w:t>равления ОАО «МСП Банк».</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Снижение </w:t>
      </w:r>
      <w:proofErr w:type="gramStart"/>
      <w:r w:rsidRPr="005F1178">
        <w:rPr>
          <w:rFonts w:ascii="Times New Roman" w:hAnsi="Times New Roman"/>
          <w:sz w:val="24"/>
          <w:szCs w:val="24"/>
          <w:lang w:eastAsia="ru-RU"/>
        </w:rPr>
        <w:t>аппетита к риску</w:t>
      </w:r>
      <w:proofErr w:type="gramEnd"/>
      <w:r w:rsidRPr="005F1178">
        <w:rPr>
          <w:rFonts w:ascii="Times New Roman" w:hAnsi="Times New Roman"/>
          <w:sz w:val="24"/>
          <w:szCs w:val="24"/>
          <w:lang w:eastAsia="ru-RU"/>
        </w:rPr>
        <w:t xml:space="preserve"> сильно отразилось на структуре кредитных портфелей – в 2012 году выросла доля торговли, сильно сократилась срочность портфелей, а </w:t>
      </w:r>
      <w:proofErr w:type="spellStart"/>
      <w:r w:rsidRPr="005F1178">
        <w:rPr>
          <w:rFonts w:ascii="Times New Roman" w:hAnsi="Times New Roman"/>
          <w:sz w:val="24"/>
          <w:szCs w:val="24"/>
          <w:lang w:eastAsia="ru-RU"/>
        </w:rPr>
        <w:t>инвесткредитование</w:t>
      </w:r>
      <w:proofErr w:type="spellEnd"/>
      <w:r w:rsidRPr="005F1178">
        <w:rPr>
          <w:rFonts w:ascii="Times New Roman" w:hAnsi="Times New Roman"/>
          <w:sz w:val="24"/>
          <w:szCs w:val="24"/>
          <w:lang w:eastAsia="ru-RU"/>
        </w:rPr>
        <w:t xml:space="preserve"> частными банками фактически было свернуто.</w:t>
      </w:r>
    </w:p>
    <w:p w:rsidR="003631A5" w:rsidRDefault="00C14B4D" w:rsidP="00846612">
      <w:pPr>
        <w:spacing w:after="0"/>
        <w:jc w:val="both"/>
        <w:rPr>
          <w:rFonts w:ascii="Times New Roman" w:hAnsi="Times New Roman"/>
          <w:sz w:val="24"/>
          <w:szCs w:val="24"/>
          <w:lang w:eastAsia="ru-RU"/>
        </w:rPr>
      </w:pPr>
      <w:r w:rsidRPr="005F1178">
        <w:rPr>
          <w:rFonts w:ascii="Times New Roman" w:hAnsi="Times New Roman" w:cs="Times New Roman"/>
          <w:sz w:val="24"/>
          <w:szCs w:val="24"/>
        </w:rPr>
        <w:t>На этом фоне заметно возросла активность банков в развитии так называемых кредитных фабрик (</w:t>
      </w:r>
      <w:r w:rsidR="00C663E6">
        <w:rPr>
          <w:rFonts w:ascii="Times New Roman" w:hAnsi="Times New Roman" w:cs="Times New Roman"/>
          <w:sz w:val="24"/>
          <w:szCs w:val="24"/>
        </w:rPr>
        <w:t>«</w:t>
      </w:r>
      <w:r w:rsidRPr="005F1178">
        <w:rPr>
          <w:rFonts w:ascii="Times New Roman" w:hAnsi="Times New Roman" w:cs="Times New Roman"/>
          <w:sz w:val="24"/>
          <w:szCs w:val="24"/>
        </w:rPr>
        <w:t>коротких</w:t>
      </w:r>
      <w:r w:rsidR="00C663E6">
        <w:rPr>
          <w:rFonts w:ascii="Times New Roman" w:hAnsi="Times New Roman" w:cs="Times New Roman"/>
          <w:sz w:val="24"/>
          <w:szCs w:val="24"/>
        </w:rPr>
        <w:t>»</w:t>
      </w:r>
      <w:r w:rsidRPr="005F1178">
        <w:rPr>
          <w:rFonts w:ascii="Times New Roman" w:hAnsi="Times New Roman" w:cs="Times New Roman"/>
          <w:sz w:val="24"/>
          <w:szCs w:val="24"/>
        </w:rPr>
        <w:t xml:space="preserve"> </w:t>
      </w:r>
      <w:proofErr w:type="spellStart"/>
      <w:r w:rsidRPr="005F1178">
        <w:rPr>
          <w:rFonts w:ascii="Times New Roman" w:hAnsi="Times New Roman" w:cs="Times New Roman"/>
          <w:sz w:val="24"/>
          <w:szCs w:val="24"/>
        </w:rPr>
        <w:t>микрокредитов</w:t>
      </w:r>
      <w:proofErr w:type="spellEnd"/>
      <w:r w:rsidRPr="005F1178">
        <w:rPr>
          <w:rFonts w:ascii="Times New Roman" w:hAnsi="Times New Roman" w:cs="Times New Roman"/>
          <w:sz w:val="24"/>
          <w:szCs w:val="24"/>
        </w:rPr>
        <w:t xml:space="preserve"> малому бизнесу). Такие кредиты не подпадают под повышающий коэффициент при расчете Н</w:t>
      </w:r>
      <w:proofErr w:type="gramStart"/>
      <w:r w:rsidRPr="005F1178">
        <w:rPr>
          <w:rFonts w:ascii="Times New Roman" w:hAnsi="Times New Roman" w:cs="Times New Roman"/>
          <w:sz w:val="24"/>
          <w:szCs w:val="24"/>
        </w:rPr>
        <w:t>1</w:t>
      </w:r>
      <w:proofErr w:type="gramEnd"/>
      <w:r w:rsidRPr="005F1178">
        <w:rPr>
          <w:rFonts w:ascii="Times New Roman" w:hAnsi="Times New Roman" w:cs="Times New Roman"/>
          <w:sz w:val="24"/>
          <w:szCs w:val="24"/>
        </w:rPr>
        <w:t>, при этом их можно объединять в пулы однородных ссуд и таким образом создавать пониженные резервы</w:t>
      </w:r>
      <w:r w:rsidR="00846612">
        <w:rPr>
          <w:rFonts w:ascii="Times New Roman" w:hAnsi="Times New Roman" w:cs="Times New Roman"/>
          <w:sz w:val="24"/>
          <w:szCs w:val="24"/>
        </w:rPr>
        <w:t>.</w:t>
      </w:r>
      <w:r w:rsidR="0070637A" w:rsidRPr="005F1178">
        <w:rPr>
          <w:rFonts w:ascii="Times New Roman" w:hAnsi="Times New Roman"/>
          <w:sz w:val="24"/>
          <w:szCs w:val="24"/>
          <w:lang w:eastAsia="ru-RU"/>
        </w:rPr>
        <w:t xml:space="preserve"> </w:t>
      </w:r>
      <w:r w:rsidRPr="005F1178">
        <w:rPr>
          <w:rFonts w:ascii="Times New Roman" w:hAnsi="Times New Roman"/>
          <w:sz w:val="24"/>
          <w:szCs w:val="24"/>
          <w:lang w:eastAsia="ru-RU"/>
        </w:rPr>
        <w:t>Кредитные фабрики, как и предсказывал «Эксперт РА», дали топ-30 банкам пусть и небольшое, но преимущество в росте по с</w:t>
      </w:r>
      <w:r w:rsidR="00E32B15" w:rsidRPr="005F1178">
        <w:rPr>
          <w:rFonts w:ascii="Times New Roman" w:hAnsi="Times New Roman"/>
          <w:sz w:val="24"/>
          <w:szCs w:val="24"/>
          <w:lang w:eastAsia="ru-RU"/>
        </w:rPr>
        <w:t xml:space="preserve">равнению с остальными банками. </w:t>
      </w:r>
      <w:r w:rsidRPr="005F1178">
        <w:rPr>
          <w:rFonts w:ascii="Times New Roman" w:hAnsi="Times New Roman"/>
          <w:sz w:val="24"/>
          <w:szCs w:val="24"/>
          <w:lang w:eastAsia="ru-RU"/>
        </w:rPr>
        <w:t xml:space="preserve">Портфели топ-30 по активам кредитных организаций выросли в среднем на 18%, у небольших банков – только на 15%. </w:t>
      </w:r>
    </w:p>
    <w:p w:rsidR="00C14B4D" w:rsidRDefault="0052697D" w:rsidP="00846612">
      <w:pPr>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Подстегнуть рост доходов, получаемых от МСБ, крупные банки пытаются за счет активного внедрения</w:t>
      </w:r>
      <w:r w:rsidR="00C14B4D" w:rsidRPr="005F1178">
        <w:rPr>
          <w:rFonts w:ascii="Times New Roman" w:hAnsi="Times New Roman"/>
          <w:sz w:val="24"/>
          <w:szCs w:val="24"/>
          <w:lang w:eastAsia="ru-RU"/>
        </w:rPr>
        <w:t xml:space="preserve"> обслуживания МСБ по</w:t>
      </w:r>
      <w:r w:rsidR="005F1178" w:rsidRPr="005F1178">
        <w:rPr>
          <w:rFonts w:ascii="Times New Roman" w:hAnsi="Times New Roman"/>
          <w:sz w:val="24"/>
          <w:szCs w:val="24"/>
          <w:lang w:eastAsia="ru-RU"/>
        </w:rPr>
        <w:t xml:space="preserve"> комплексным тарифам, включающего</w:t>
      </w:r>
      <w:r w:rsidR="00C14B4D" w:rsidRPr="005F1178">
        <w:rPr>
          <w:rFonts w:ascii="Times New Roman" w:hAnsi="Times New Roman"/>
          <w:sz w:val="24"/>
          <w:szCs w:val="24"/>
          <w:lang w:eastAsia="ru-RU"/>
        </w:rPr>
        <w:t xml:space="preserve"> в себя не только кредитование, но и депозитное обслуживание, ВЭД, бизнес-консалтинг. Более 80% опрошенных банков ожидают в ближайшие годы роста комиссионных доходов, получаемых от работы с МСБ. </w:t>
      </w:r>
      <w:r w:rsidR="008B70FA" w:rsidRPr="005F1178">
        <w:rPr>
          <w:rFonts w:ascii="Times New Roman" w:hAnsi="Times New Roman"/>
          <w:sz w:val="24"/>
          <w:szCs w:val="24"/>
          <w:lang w:eastAsia="ru-RU"/>
        </w:rPr>
        <w:t xml:space="preserve">«Развитие непроцентных доходов является одной из основных задач, учитывая, что в настоящее время их доля составляет 15-20%. В международной практике комиссионные </w:t>
      </w:r>
      <w:proofErr w:type="spellStart"/>
      <w:r w:rsidR="008B70FA" w:rsidRPr="005F1178">
        <w:rPr>
          <w:rFonts w:ascii="Times New Roman" w:hAnsi="Times New Roman"/>
          <w:sz w:val="24"/>
          <w:szCs w:val="24"/>
          <w:lang w:eastAsia="ru-RU"/>
        </w:rPr>
        <w:t>некредитные</w:t>
      </w:r>
      <w:proofErr w:type="spellEnd"/>
      <w:r w:rsidR="008B70FA" w:rsidRPr="005F1178">
        <w:rPr>
          <w:rFonts w:ascii="Times New Roman" w:hAnsi="Times New Roman"/>
          <w:sz w:val="24"/>
          <w:szCs w:val="24"/>
          <w:lang w:eastAsia="ru-RU"/>
        </w:rPr>
        <w:t xml:space="preserve"> доходы банков достигают 50% от</w:t>
      </w:r>
      <w:r w:rsidR="008B70FA" w:rsidRPr="005F1178">
        <w:rPr>
          <w:rFonts w:ascii="Times New Roman" w:hAnsi="Times New Roman"/>
          <w:sz w:val="24"/>
          <w:szCs w:val="24"/>
        </w:rPr>
        <w:t xml:space="preserve"> общего объема доходов», </w:t>
      </w:r>
      <w:r w:rsidR="00B210CD">
        <w:rPr>
          <w:rFonts w:ascii="Times New Roman" w:hAnsi="Times New Roman"/>
          <w:sz w:val="24"/>
          <w:szCs w:val="24"/>
        </w:rPr>
        <w:t>–</w:t>
      </w:r>
      <w:r w:rsidR="008B70FA" w:rsidRPr="005F1178">
        <w:rPr>
          <w:rFonts w:ascii="Times New Roman" w:hAnsi="Times New Roman"/>
          <w:sz w:val="24"/>
          <w:szCs w:val="24"/>
        </w:rPr>
        <w:t xml:space="preserve"> комментирует </w:t>
      </w:r>
      <w:r w:rsidR="008B70FA" w:rsidRPr="005F1178">
        <w:rPr>
          <w:rFonts w:ascii="Times New Roman" w:hAnsi="Times New Roman"/>
          <w:i/>
          <w:sz w:val="24"/>
          <w:szCs w:val="24"/>
        </w:rPr>
        <w:t xml:space="preserve"> </w:t>
      </w:r>
      <w:proofErr w:type="spellStart"/>
      <w:r w:rsidR="008B70FA" w:rsidRPr="005F1178">
        <w:rPr>
          <w:rFonts w:ascii="Times New Roman" w:hAnsi="Times New Roman" w:cs="Times New Roman"/>
          <w:b/>
          <w:sz w:val="24"/>
          <w:szCs w:val="24"/>
        </w:rPr>
        <w:t>Надия</w:t>
      </w:r>
      <w:proofErr w:type="spellEnd"/>
      <w:r w:rsidR="008B70FA" w:rsidRPr="005F1178">
        <w:rPr>
          <w:rFonts w:ascii="Times New Roman" w:hAnsi="Times New Roman" w:cs="Times New Roman"/>
          <w:b/>
          <w:sz w:val="24"/>
          <w:szCs w:val="24"/>
        </w:rPr>
        <w:t xml:space="preserve"> Черкасова, </w:t>
      </w:r>
      <w:r w:rsidR="00B210CD">
        <w:rPr>
          <w:rFonts w:ascii="Times New Roman" w:hAnsi="Times New Roman" w:cs="Times New Roman"/>
          <w:bCs/>
          <w:sz w:val="24"/>
          <w:szCs w:val="24"/>
        </w:rPr>
        <w:t>ч</w:t>
      </w:r>
      <w:r w:rsidR="008B70FA" w:rsidRPr="005F1178">
        <w:rPr>
          <w:rFonts w:ascii="Times New Roman" w:hAnsi="Times New Roman" w:cs="Times New Roman"/>
          <w:bCs/>
          <w:sz w:val="24"/>
          <w:szCs w:val="24"/>
        </w:rPr>
        <w:t xml:space="preserve">лен </w:t>
      </w:r>
      <w:r w:rsidR="00B210CD">
        <w:rPr>
          <w:rFonts w:ascii="Times New Roman" w:hAnsi="Times New Roman" w:cs="Times New Roman"/>
          <w:bCs/>
          <w:sz w:val="24"/>
          <w:szCs w:val="24"/>
        </w:rPr>
        <w:t>с</w:t>
      </w:r>
      <w:r w:rsidR="008B70FA" w:rsidRPr="005F1178">
        <w:rPr>
          <w:rFonts w:ascii="Times New Roman" w:hAnsi="Times New Roman" w:cs="Times New Roman"/>
          <w:bCs/>
          <w:sz w:val="24"/>
          <w:szCs w:val="24"/>
        </w:rPr>
        <w:t xml:space="preserve">овета директоров, </w:t>
      </w:r>
      <w:r w:rsidR="008B70FA" w:rsidRPr="005F1178">
        <w:rPr>
          <w:rFonts w:ascii="Times New Roman" w:hAnsi="Times New Roman" w:cs="Times New Roman"/>
          <w:sz w:val="24"/>
          <w:szCs w:val="24"/>
        </w:rPr>
        <w:br/>
      </w:r>
      <w:r w:rsidR="008B70FA" w:rsidRPr="005F1178">
        <w:rPr>
          <w:rFonts w:ascii="Times New Roman" w:hAnsi="Times New Roman" w:cs="Times New Roman"/>
          <w:bCs/>
          <w:sz w:val="24"/>
          <w:szCs w:val="24"/>
        </w:rPr>
        <w:t>управляющий директор банка «ТРАСТ».</w:t>
      </w:r>
      <w:r w:rsidR="008B70FA" w:rsidRPr="005F1178">
        <w:rPr>
          <w:rFonts w:ascii="Times New Roman" w:hAnsi="Times New Roman"/>
          <w:sz w:val="24"/>
          <w:szCs w:val="24"/>
          <w:lang w:eastAsia="ru-RU"/>
        </w:rPr>
        <w:t xml:space="preserve"> </w:t>
      </w:r>
      <w:r w:rsidR="00C14B4D" w:rsidRPr="005F1178">
        <w:rPr>
          <w:rFonts w:ascii="Times New Roman" w:hAnsi="Times New Roman"/>
          <w:sz w:val="24"/>
          <w:szCs w:val="24"/>
          <w:lang w:eastAsia="ru-RU"/>
        </w:rPr>
        <w:t>Диверсификация структуры доходов позволила бы кредитным организациям снизить волатильность прибыли.</w:t>
      </w:r>
    </w:p>
    <w:p w:rsidR="00846612" w:rsidRPr="005F1178" w:rsidRDefault="00846612" w:rsidP="00846612">
      <w:pPr>
        <w:spacing w:after="0"/>
        <w:ind w:firstLine="709"/>
        <w:jc w:val="both"/>
        <w:rPr>
          <w:rFonts w:ascii="Times New Roman" w:hAnsi="Times New Roman"/>
          <w:sz w:val="24"/>
          <w:szCs w:val="24"/>
          <w:lang w:eastAsia="ru-RU"/>
        </w:rPr>
      </w:pPr>
    </w:p>
    <w:p w:rsidR="00C14B4D" w:rsidRPr="005F1178" w:rsidRDefault="00E32B15" w:rsidP="00C14B4D">
      <w:pPr>
        <w:rPr>
          <w:rFonts w:ascii="Arial" w:hAnsi="Arial" w:cs="Arial"/>
          <w:b/>
          <w:sz w:val="28"/>
          <w:szCs w:val="28"/>
        </w:rPr>
      </w:pPr>
      <w:r w:rsidRPr="005F1178">
        <w:rPr>
          <w:rFonts w:ascii="Arial" w:hAnsi="Arial" w:cs="Arial"/>
          <w:b/>
          <w:sz w:val="28"/>
          <w:szCs w:val="28"/>
        </w:rPr>
        <w:t xml:space="preserve">Конкуренция: большим быть хорошо </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Доля </w:t>
      </w:r>
      <w:r w:rsidR="005F1178" w:rsidRPr="005F1178">
        <w:rPr>
          <w:rFonts w:ascii="Times New Roman" w:hAnsi="Times New Roman"/>
          <w:sz w:val="24"/>
          <w:szCs w:val="24"/>
          <w:lang w:eastAsia="ru-RU"/>
        </w:rPr>
        <w:t xml:space="preserve">банков </w:t>
      </w:r>
      <w:r w:rsidRPr="005F1178">
        <w:rPr>
          <w:rFonts w:ascii="Times New Roman" w:hAnsi="Times New Roman"/>
          <w:sz w:val="24"/>
          <w:szCs w:val="24"/>
          <w:lang w:eastAsia="ru-RU"/>
        </w:rPr>
        <w:t xml:space="preserve">топ-30 по активам </w:t>
      </w:r>
      <w:r w:rsidR="008D177B" w:rsidRPr="005F1178">
        <w:rPr>
          <w:rFonts w:ascii="Times New Roman" w:hAnsi="Times New Roman"/>
          <w:sz w:val="24"/>
          <w:szCs w:val="24"/>
          <w:lang w:eastAsia="ru-RU"/>
        </w:rPr>
        <w:t xml:space="preserve">на рынке МСБ </w:t>
      </w:r>
      <w:r w:rsidRPr="005F1178">
        <w:rPr>
          <w:rFonts w:ascii="Times New Roman" w:hAnsi="Times New Roman"/>
          <w:sz w:val="24"/>
          <w:szCs w:val="24"/>
          <w:lang w:eastAsia="ru-RU"/>
        </w:rPr>
        <w:t>выросла за 2012 год на 0,6 п.</w:t>
      </w:r>
      <w:r w:rsidR="00B210CD">
        <w:rPr>
          <w:rFonts w:ascii="Times New Roman" w:hAnsi="Times New Roman"/>
          <w:sz w:val="24"/>
          <w:szCs w:val="24"/>
          <w:lang w:eastAsia="ru-RU"/>
        </w:rPr>
        <w:t xml:space="preserve"> </w:t>
      </w:r>
      <w:r w:rsidRPr="005F1178">
        <w:rPr>
          <w:rFonts w:ascii="Times New Roman" w:hAnsi="Times New Roman"/>
          <w:sz w:val="24"/>
          <w:szCs w:val="24"/>
          <w:lang w:eastAsia="ru-RU"/>
        </w:rPr>
        <w:t>п.</w:t>
      </w:r>
      <w:r w:rsidR="00B210CD">
        <w:rPr>
          <w:rFonts w:ascii="Times New Roman" w:hAnsi="Times New Roman"/>
          <w:sz w:val="24"/>
          <w:szCs w:val="24"/>
          <w:lang w:eastAsia="ru-RU"/>
        </w:rPr>
        <w:t>,</w:t>
      </w:r>
      <w:r w:rsidRPr="005F1178">
        <w:rPr>
          <w:rFonts w:ascii="Times New Roman" w:hAnsi="Times New Roman"/>
          <w:sz w:val="24"/>
          <w:szCs w:val="24"/>
          <w:lang w:eastAsia="ru-RU"/>
        </w:rPr>
        <w:t xml:space="preserve"> до уровня в 60,8%. Во многом это </w:t>
      </w:r>
      <w:r w:rsidR="008D177B" w:rsidRPr="005F1178">
        <w:rPr>
          <w:rFonts w:ascii="Times New Roman" w:hAnsi="Times New Roman"/>
          <w:sz w:val="24"/>
          <w:szCs w:val="24"/>
          <w:lang w:eastAsia="ru-RU"/>
        </w:rPr>
        <w:t>следствие</w:t>
      </w:r>
      <w:r w:rsidRPr="005F1178">
        <w:rPr>
          <w:rFonts w:ascii="Times New Roman" w:hAnsi="Times New Roman"/>
          <w:sz w:val="24"/>
          <w:szCs w:val="24"/>
          <w:lang w:eastAsia="ru-RU"/>
        </w:rPr>
        <w:t xml:space="preserve"> активного </w:t>
      </w:r>
      <w:r w:rsidR="008D177B" w:rsidRPr="005F1178">
        <w:rPr>
          <w:rFonts w:ascii="Times New Roman" w:hAnsi="Times New Roman"/>
          <w:sz w:val="24"/>
          <w:szCs w:val="24"/>
          <w:lang w:eastAsia="ru-RU"/>
        </w:rPr>
        <w:t>развертывания</w:t>
      </w:r>
      <w:r w:rsidRPr="005F1178">
        <w:rPr>
          <w:rFonts w:ascii="Times New Roman" w:hAnsi="Times New Roman"/>
          <w:sz w:val="24"/>
          <w:szCs w:val="24"/>
          <w:lang w:eastAsia="ru-RU"/>
        </w:rPr>
        <w:t xml:space="preserve"> кредитных фабрик. </w:t>
      </w:r>
      <w:r w:rsidR="005A1353" w:rsidRPr="005F1178">
        <w:rPr>
          <w:rFonts w:ascii="Times New Roman" w:hAnsi="Times New Roman"/>
          <w:sz w:val="24"/>
          <w:szCs w:val="24"/>
          <w:lang w:eastAsia="ru-RU"/>
        </w:rPr>
        <w:t>Опрос, проведенный «Эксперт</w:t>
      </w:r>
      <w:r w:rsidR="00B210CD">
        <w:rPr>
          <w:rFonts w:ascii="Times New Roman" w:hAnsi="Times New Roman"/>
          <w:sz w:val="24"/>
          <w:szCs w:val="24"/>
          <w:lang w:eastAsia="ru-RU"/>
        </w:rPr>
        <w:t>ом</w:t>
      </w:r>
      <w:r w:rsidRPr="005F1178">
        <w:rPr>
          <w:rFonts w:ascii="Times New Roman" w:hAnsi="Times New Roman"/>
          <w:sz w:val="24"/>
          <w:szCs w:val="24"/>
          <w:lang w:eastAsia="ru-RU"/>
        </w:rPr>
        <w:t xml:space="preserve"> РА» в начале 2012 года, показал, что на тот момент треть банкиров планировали приступить к поточному кредитованию заемщиков. Более 30% банкиров заявили, что такие технологии уже активно ими используются. У 20% респондентов внедрение «кредитной фабрики» было запланировано на 2012 год. Значительно усилили свои позиции на рынке кредитования МСБ банки, предлагающие обслуживание по комплексным тарифам: их портфели выросли в среднем за 2012 год на 30%.</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Тройка лидеров рынка не поменялась. Сбербанк России показал темп прироста портфеля выше рынка</w:t>
      </w:r>
      <w:r w:rsidR="00B210CD">
        <w:rPr>
          <w:rFonts w:ascii="Times New Roman" w:hAnsi="Times New Roman"/>
          <w:sz w:val="24"/>
          <w:szCs w:val="24"/>
          <w:lang w:eastAsia="ru-RU"/>
        </w:rPr>
        <w:t xml:space="preserve"> –</w:t>
      </w:r>
      <w:r w:rsidRPr="005F1178">
        <w:rPr>
          <w:rFonts w:ascii="Times New Roman" w:hAnsi="Times New Roman"/>
          <w:sz w:val="24"/>
          <w:szCs w:val="24"/>
          <w:lang w:eastAsia="ru-RU"/>
        </w:rPr>
        <w:t xml:space="preserve"> на уровне в 18,7%</w:t>
      </w:r>
      <w:r w:rsidR="00B210CD">
        <w:rPr>
          <w:rFonts w:ascii="Times New Roman" w:hAnsi="Times New Roman"/>
          <w:sz w:val="24"/>
          <w:szCs w:val="24"/>
          <w:lang w:eastAsia="ru-RU"/>
        </w:rPr>
        <w:t>,</w:t>
      </w:r>
      <w:r w:rsidRPr="005F1178">
        <w:rPr>
          <w:rFonts w:ascii="Times New Roman" w:hAnsi="Times New Roman"/>
          <w:sz w:val="24"/>
          <w:szCs w:val="24"/>
          <w:lang w:eastAsia="ru-RU"/>
        </w:rPr>
        <w:t xml:space="preserve"> до 1,2 </w:t>
      </w:r>
      <w:proofErr w:type="gramStart"/>
      <w:r w:rsidRPr="005F1178">
        <w:rPr>
          <w:rFonts w:ascii="Times New Roman" w:hAnsi="Times New Roman"/>
          <w:sz w:val="24"/>
          <w:szCs w:val="24"/>
          <w:lang w:eastAsia="ru-RU"/>
        </w:rPr>
        <w:t>трлн</w:t>
      </w:r>
      <w:proofErr w:type="gramEnd"/>
      <w:r w:rsidRPr="005F1178">
        <w:rPr>
          <w:rFonts w:ascii="Times New Roman" w:hAnsi="Times New Roman"/>
          <w:sz w:val="24"/>
          <w:szCs w:val="24"/>
          <w:lang w:eastAsia="ru-RU"/>
        </w:rPr>
        <w:t xml:space="preserve"> руб</w:t>
      </w:r>
      <w:r w:rsidR="00B210CD">
        <w:rPr>
          <w:rFonts w:ascii="Times New Roman" w:hAnsi="Times New Roman"/>
          <w:sz w:val="24"/>
          <w:szCs w:val="24"/>
          <w:lang w:eastAsia="ru-RU"/>
        </w:rPr>
        <w:t>лей</w:t>
      </w:r>
      <w:r w:rsidRPr="005F1178">
        <w:rPr>
          <w:rFonts w:ascii="Times New Roman" w:hAnsi="Times New Roman"/>
          <w:sz w:val="24"/>
          <w:szCs w:val="24"/>
          <w:lang w:eastAsia="ru-RU"/>
        </w:rPr>
        <w:t>. Это позволило ему увеличить свою долю на рынке кредитования МСБ на 0,4 п.</w:t>
      </w:r>
      <w:r w:rsidR="00B210CD">
        <w:rPr>
          <w:rFonts w:ascii="Times New Roman" w:hAnsi="Times New Roman"/>
          <w:sz w:val="24"/>
          <w:szCs w:val="24"/>
          <w:lang w:eastAsia="ru-RU"/>
        </w:rPr>
        <w:t xml:space="preserve"> </w:t>
      </w:r>
      <w:r w:rsidRPr="005F1178">
        <w:rPr>
          <w:rFonts w:ascii="Times New Roman" w:hAnsi="Times New Roman"/>
          <w:sz w:val="24"/>
          <w:szCs w:val="24"/>
          <w:lang w:eastAsia="ru-RU"/>
        </w:rPr>
        <w:t>п.</w:t>
      </w:r>
      <w:r w:rsidR="00B210CD">
        <w:rPr>
          <w:rFonts w:ascii="Times New Roman" w:hAnsi="Times New Roman"/>
          <w:sz w:val="24"/>
          <w:szCs w:val="24"/>
          <w:lang w:eastAsia="ru-RU"/>
        </w:rPr>
        <w:t>,</w:t>
      </w:r>
      <w:r w:rsidRPr="005F1178">
        <w:rPr>
          <w:rFonts w:ascii="Times New Roman" w:hAnsi="Times New Roman"/>
          <w:sz w:val="24"/>
          <w:szCs w:val="24"/>
          <w:lang w:eastAsia="ru-RU"/>
        </w:rPr>
        <w:t xml:space="preserve"> до 26,5%. Банк «ВТБ 24», в отличие от своих ближайших преследователей, показал </w:t>
      </w:r>
      <w:r w:rsidR="008B70FA" w:rsidRPr="005F1178">
        <w:rPr>
          <w:rFonts w:ascii="Times New Roman" w:hAnsi="Times New Roman"/>
          <w:sz w:val="24"/>
          <w:szCs w:val="24"/>
          <w:lang w:eastAsia="ru-RU"/>
        </w:rPr>
        <w:t>хорошие</w:t>
      </w:r>
      <w:r w:rsidRPr="005F1178">
        <w:rPr>
          <w:rFonts w:ascii="Times New Roman" w:hAnsi="Times New Roman"/>
          <w:sz w:val="24"/>
          <w:szCs w:val="24"/>
          <w:lang w:eastAsia="ru-RU"/>
        </w:rPr>
        <w:t xml:space="preserve"> темпы роста, нарастив портфель на 39,7% по сравнению с 2011 годом. Во многом рост обеспечил специальный кредитный продукт, разработанный для предприятий малого бизнеса, денежные средства по которому зачисляются на счет физического лица</w:t>
      </w:r>
      <w:r w:rsidR="00B210CD">
        <w:rPr>
          <w:rFonts w:ascii="Times New Roman" w:hAnsi="Times New Roman"/>
          <w:sz w:val="24"/>
          <w:szCs w:val="24"/>
          <w:lang w:eastAsia="ru-RU"/>
        </w:rPr>
        <w:t xml:space="preserve"> </w:t>
      </w:r>
      <w:r w:rsidRPr="005F1178">
        <w:rPr>
          <w:rFonts w:ascii="Times New Roman" w:hAnsi="Times New Roman"/>
          <w:sz w:val="24"/>
          <w:szCs w:val="24"/>
          <w:lang w:eastAsia="ru-RU"/>
        </w:rPr>
        <w:t>–</w:t>
      </w:r>
      <w:r w:rsidR="00B210CD">
        <w:rPr>
          <w:rFonts w:ascii="Times New Roman" w:hAnsi="Times New Roman"/>
          <w:sz w:val="24"/>
          <w:szCs w:val="24"/>
          <w:lang w:eastAsia="ru-RU"/>
        </w:rPr>
        <w:t xml:space="preserve"> </w:t>
      </w:r>
      <w:r w:rsidRPr="005F1178">
        <w:rPr>
          <w:rFonts w:ascii="Times New Roman" w:hAnsi="Times New Roman"/>
          <w:sz w:val="24"/>
          <w:szCs w:val="24"/>
          <w:lang w:eastAsia="ru-RU"/>
        </w:rPr>
        <w:t>предпринимателя</w:t>
      </w:r>
      <w:r w:rsidR="00B210CD">
        <w:rPr>
          <w:rFonts w:ascii="Times New Roman" w:hAnsi="Times New Roman"/>
          <w:sz w:val="24"/>
          <w:szCs w:val="24"/>
          <w:lang w:eastAsia="ru-RU"/>
        </w:rPr>
        <w:t xml:space="preserve">, </w:t>
      </w:r>
      <w:r w:rsidRPr="005F1178">
        <w:rPr>
          <w:rFonts w:ascii="Times New Roman" w:hAnsi="Times New Roman"/>
          <w:sz w:val="24"/>
          <w:szCs w:val="24"/>
          <w:lang w:eastAsia="ru-RU"/>
        </w:rPr>
        <w:t xml:space="preserve">владельца бизнеса. </w:t>
      </w:r>
    </w:p>
    <w:p w:rsidR="00C14B4D" w:rsidRPr="005F1178" w:rsidRDefault="00C14B4D" w:rsidP="00B210C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lastRenderedPageBreak/>
        <w:t xml:space="preserve">Промсвязьбанк, специализирующийся на относительно коротких кредитах (в т. ч. </w:t>
      </w:r>
      <w:proofErr w:type="spellStart"/>
      <w:r w:rsidRPr="005F1178">
        <w:rPr>
          <w:rFonts w:ascii="Times New Roman" w:hAnsi="Times New Roman"/>
          <w:sz w:val="24"/>
          <w:szCs w:val="24"/>
          <w:lang w:eastAsia="ru-RU"/>
        </w:rPr>
        <w:t>беззалоговых</w:t>
      </w:r>
      <w:proofErr w:type="spellEnd"/>
      <w:r w:rsidRPr="005F1178">
        <w:rPr>
          <w:rFonts w:ascii="Times New Roman" w:hAnsi="Times New Roman"/>
          <w:sz w:val="24"/>
          <w:szCs w:val="24"/>
          <w:lang w:eastAsia="ru-RU"/>
        </w:rPr>
        <w:t xml:space="preserve">), показал достаточно сдержанный рост, прибавив </w:t>
      </w:r>
      <w:r w:rsidR="005F1178" w:rsidRPr="005F1178">
        <w:rPr>
          <w:rFonts w:ascii="Times New Roman" w:hAnsi="Times New Roman"/>
          <w:sz w:val="24"/>
          <w:szCs w:val="24"/>
          <w:lang w:eastAsia="ru-RU"/>
        </w:rPr>
        <w:t>только 8,2%.</w:t>
      </w:r>
      <w:r w:rsidRPr="005F1178">
        <w:rPr>
          <w:rFonts w:ascii="Times New Roman" w:hAnsi="Times New Roman"/>
          <w:sz w:val="24"/>
          <w:szCs w:val="24"/>
          <w:lang w:eastAsia="ru-RU"/>
        </w:rPr>
        <w:t xml:space="preserve"> </w:t>
      </w:r>
      <w:r w:rsidR="005F1178" w:rsidRPr="005F1178">
        <w:rPr>
          <w:rFonts w:ascii="Times New Roman" w:hAnsi="Times New Roman"/>
          <w:sz w:val="24"/>
          <w:szCs w:val="24"/>
          <w:lang w:eastAsia="ru-RU"/>
        </w:rPr>
        <w:t>В 2011 году рост был более чем в 2,6 раз</w:t>
      </w:r>
      <w:r w:rsidR="00B210CD">
        <w:rPr>
          <w:rFonts w:ascii="Times New Roman" w:hAnsi="Times New Roman"/>
          <w:sz w:val="24"/>
          <w:szCs w:val="24"/>
          <w:lang w:eastAsia="ru-RU"/>
        </w:rPr>
        <w:t>а</w:t>
      </w:r>
      <w:r w:rsidR="005F1178" w:rsidRPr="005F1178">
        <w:rPr>
          <w:rFonts w:ascii="Times New Roman" w:hAnsi="Times New Roman"/>
          <w:sz w:val="24"/>
          <w:szCs w:val="24"/>
          <w:lang w:eastAsia="ru-RU"/>
        </w:rPr>
        <w:t>: т</w:t>
      </w:r>
      <w:r w:rsidRPr="005F1178">
        <w:rPr>
          <w:rFonts w:ascii="Times New Roman" w:hAnsi="Times New Roman"/>
          <w:sz w:val="24"/>
          <w:szCs w:val="24"/>
          <w:lang w:eastAsia="ru-RU"/>
        </w:rPr>
        <w:t>огда существенное влияние на его портфель оказала сделка по покупке пула кредитов МСБ у НБ «ТРАСТ». При этом Промсвязьбанк, сделав в прошлом году ставку на расширение географии деятельности, показал существенное укрепление позиций на региональных рынках. Банк входит в топ-5 по объему выданных кредитов субъектам МСБ за 2012 год в 7 федеральных округах из 8.</w:t>
      </w:r>
    </w:p>
    <w:p w:rsidR="00C14B4D" w:rsidRPr="005F1178" w:rsidRDefault="00C14B4D" w:rsidP="00C14B4D">
      <w:pPr>
        <w:pStyle w:val="af"/>
        <w:spacing w:before="0" w:beforeAutospacing="0" w:after="0" w:afterAutospacing="0"/>
        <w:ind w:firstLine="709"/>
        <w:jc w:val="both"/>
      </w:pPr>
      <w:r w:rsidRPr="005F1178">
        <w:t>Обраща</w:t>
      </w:r>
      <w:r w:rsidR="005A1353" w:rsidRPr="005F1178">
        <w:t>ю</w:t>
      </w:r>
      <w:r w:rsidRPr="005F1178">
        <w:t xml:space="preserve">т на себя внимание результаты Росбанка – темп прироста портфеля составил 70% за 2012 год. Основа роста – сбалансированность выдач как по целевому использованию средств заемщиками, так и по размеру кредитов. ОАО КБ </w:t>
      </w:r>
      <w:r w:rsidR="00B210CD">
        <w:t>«</w:t>
      </w:r>
      <w:r w:rsidRPr="005F1178">
        <w:t>Восточный</w:t>
      </w:r>
      <w:r w:rsidR="00B210CD">
        <w:t>»</w:t>
      </w:r>
      <w:r w:rsidRPr="005F1178">
        <w:t xml:space="preserve"> активно использует схему кредитования МСБ через ФЛ. Для участия в исследовании КБ «Восточный» предоставил данные с учетом кредитов для МСБ, оформленных на ФЛ – собственников бизнеса. Размер его портфеля – 16,5 </w:t>
      </w:r>
      <w:proofErr w:type="gramStart"/>
      <w:r w:rsidRPr="005F1178">
        <w:t>млрд</w:t>
      </w:r>
      <w:proofErr w:type="gramEnd"/>
      <w:r w:rsidRPr="005F1178">
        <w:t xml:space="preserve"> рублей на 01.01.13 (+177% за 2012 год).</w:t>
      </w:r>
    </w:p>
    <w:p w:rsidR="00C14B4D" w:rsidRPr="005F1178" w:rsidRDefault="00EB270A"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noProof/>
          <w:sz w:val="24"/>
          <w:szCs w:val="24"/>
          <w:lang w:eastAsia="ru-RU"/>
        </w:rPr>
        <mc:AlternateContent>
          <mc:Choice Requires="wps">
            <w:drawing>
              <wp:anchor distT="0" distB="0" distL="114300" distR="114300" simplePos="0" relativeHeight="251667456" behindDoc="1" locked="0" layoutInCell="1" allowOverlap="1" wp14:anchorId="11A4B7A1" wp14:editId="77255003">
                <wp:simplePos x="0" y="0"/>
                <wp:positionH relativeFrom="column">
                  <wp:posOffset>3147695</wp:posOffset>
                </wp:positionH>
                <wp:positionV relativeFrom="paragraph">
                  <wp:posOffset>114935</wp:posOffset>
                </wp:positionV>
                <wp:extent cx="2667000" cy="1184910"/>
                <wp:effectExtent l="0" t="0" r="0" b="0"/>
                <wp:wrapTight wrapText="bothSides">
                  <wp:wrapPolygon edited="0">
                    <wp:start x="0" y="0"/>
                    <wp:lineTo x="0" y="21183"/>
                    <wp:lineTo x="21446" y="21183"/>
                    <wp:lineTo x="21446" y="0"/>
                    <wp:lineTo x="0" y="0"/>
                  </wp:wrapPolygon>
                </wp:wrapTight>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849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B46" w:rsidRPr="00EB270A" w:rsidRDefault="00925B46" w:rsidP="00EB270A">
                            <w:pPr>
                              <w:jc w:val="both"/>
                              <w:rPr>
                                <w:rFonts w:ascii="Times New Roman" w:hAnsi="Times New Roman" w:cs="Times New Roman"/>
                                <w:sz w:val="24"/>
                                <w:szCs w:val="24"/>
                              </w:rPr>
                            </w:pPr>
                            <w:r w:rsidRPr="00EB270A">
                              <w:rPr>
                                <w:rFonts w:ascii="Times New Roman" w:hAnsi="Times New Roman" w:cs="Times New Roman"/>
                                <w:b/>
                                <w:sz w:val="24"/>
                                <w:szCs w:val="24"/>
                              </w:rPr>
                              <w:t xml:space="preserve">Андрей Петров о конкуренции за МСБ: </w:t>
                            </w:r>
                            <w:r w:rsidRPr="00EB270A">
                              <w:rPr>
                                <w:rFonts w:ascii="Times New Roman" w:hAnsi="Times New Roman" w:cs="Times New Roman"/>
                                <w:sz w:val="24"/>
                                <w:szCs w:val="24"/>
                              </w:rPr>
                              <w:t>«Каких-либо существенных перест</w:t>
                            </w:r>
                            <w:smartTag w:uri="urn:schemas-microsoft-com:office:smarttags" w:element="PersonName">
                              <w:r w:rsidRPr="00EB270A">
                                <w:rPr>
                                  <w:rFonts w:ascii="Times New Roman" w:hAnsi="Times New Roman" w:cs="Times New Roman"/>
                                  <w:sz w:val="24"/>
                                  <w:szCs w:val="24"/>
                                </w:rPr>
                                <w:t>а</w:t>
                              </w:r>
                            </w:smartTag>
                            <w:r w:rsidRPr="00EB270A">
                              <w:rPr>
                                <w:rFonts w:ascii="Times New Roman" w:hAnsi="Times New Roman" w:cs="Times New Roman"/>
                                <w:sz w:val="24"/>
                                <w:szCs w:val="24"/>
                              </w:rPr>
                              <w:t>новок среди ведущих игроков рынк</w:t>
                            </w:r>
                            <w:smartTag w:uri="urn:schemas-microsoft-com:office:smarttags" w:element="PersonName">
                              <w:r w:rsidRPr="00EB270A">
                                <w:rPr>
                                  <w:rFonts w:ascii="Times New Roman" w:hAnsi="Times New Roman" w:cs="Times New Roman"/>
                                  <w:sz w:val="24"/>
                                  <w:szCs w:val="24"/>
                                </w:rPr>
                                <w:t>а</w:t>
                              </w:r>
                            </w:smartTag>
                            <w:r w:rsidRPr="00EB270A">
                              <w:rPr>
                                <w:rFonts w:ascii="Times New Roman" w:hAnsi="Times New Roman" w:cs="Times New Roman"/>
                                <w:sz w:val="24"/>
                                <w:szCs w:val="24"/>
                              </w:rPr>
                              <w:t xml:space="preserve"> ожид</w:t>
                            </w:r>
                            <w:smartTag w:uri="urn:schemas-microsoft-com:office:smarttags" w:element="PersonName">
                              <w:r w:rsidRPr="00EB270A">
                                <w:rPr>
                                  <w:rFonts w:ascii="Times New Roman" w:hAnsi="Times New Roman" w:cs="Times New Roman"/>
                                  <w:sz w:val="24"/>
                                  <w:szCs w:val="24"/>
                                </w:rPr>
                                <w:t>а</w:t>
                              </w:r>
                            </w:smartTag>
                            <w:r w:rsidRPr="00EB270A">
                              <w:rPr>
                                <w:rFonts w:ascii="Times New Roman" w:hAnsi="Times New Roman" w:cs="Times New Roman"/>
                                <w:sz w:val="24"/>
                                <w:szCs w:val="24"/>
                              </w:rPr>
                              <w:t>ть, скорее всего, не стоит»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27" type="#_x0000_t202" style="position:absolute;left:0;text-align:left;margin-left:247.85pt;margin-top:9.05pt;width:210pt;height:9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" fillcolor="silver" stroked="f">
                <v:textbox>
                  <w:txbxContent>
                    <w:p w:rsidR="00925B46" w:rsidRPr="00EB270A" w:rsidRDefault="00925B46" w:rsidP="00EB270A">
                      <w:pPr>
                        <w:jc w:val="both"/>
                        <w:rPr>
                          <w:rFonts w:ascii="Times New Roman" w:hAnsi="Times New Roman" w:cs="Times New Roman"/>
                          <w:sz w:val="24"/>
                          <w:szCs w:val="24"/>
                        </w:rPr>
                      </w:pPr>
                      <w:r w:rsidRPr="00EB270A">
                        <w:rPr>
                          <w:rFonts w:ascii="Times New Roman" w:hAnsi="Times New Roman" w:cs="Times New Roman"/>
                          <w:b/>
                          <w:sz w:val="24"/>
                          <w:szCs w:val="24"/>
                        </w:rPr>
                        <w:t xml:space="preserve">Андрей Петров о конкуренции за МСБ: </w:t>
                      </w:r>
                      <w:r w:rsidRPr="00EB270A">
                        <w:rPr>
                          <w:rFonts w:ascii="Times New Roman" w:hAnsi="Times New Roman" w:cs="Times New Roman"/>
                          <w:sz w:val="24"/>
                          <w:szCs w:val="24"/>
                        </w:rPr>
                        <w:t>«Каких-либо существенных перест</w:t>
                      </w:r>
                      <w:smartTag w:uri="urn:schemas-microsoft-com:office:smarttags" w:element="PersonName">
                        <w:r w:rsidRPr="00EB270A">
                          <w:rPr>
                            <w:rFonts w:ascii="Times New Roman" w:hAnsi="Times New Roman" w:cs="Times New Roman"/>
                            <w:sz w:val="24"/>
                            <w:szCs w:val="24"/>
                          </w:rPr>
                          <w:t>а</w:t>
                        </w:r>
                      </w:smartTag>
                      <w:r w:rsidRPr="00EB270A">
                        <w:rPr>
                          <w:rFonts w:ascii="Times New Roman" w:hAnsi="Times New Roman" w:cs="Times New Roman"/>
                          <w:sz w:val="24"/>
                          <w:szCs w:val="24"/>
                        </w:rPr>
                        <w:t>новок среди ведущих игроков рынк</w:t>
                      </w:r>
                      <w:smartTag w:uri="urn:schemas-microsoft-com:office:smarttags" w:element="PersonName">
                        <w:r w:rsidRPr="00EB270A">
                          <w:rPr>
                            <w:rFonts w:ascii="Times New Roman" w:hAnsi="Times New Roman" w:cs="Times New Roman"/>
                            <w:sz w:val="24"/>
                            <w:szCs w:val="24"/>
                          </w:rPr>
                          <w:t>а</w:t>
                        </w:r>
                      </w:smartTag>
                      <w:r w:rsidRPr="00EB270A">
                        <w:rPr>
                          <w:rFonts w:ascii="Times New Roman" w:hAnsi="Times New Roman" w:cs="Times New Roman"/>
                          <w:sz w:val="24"/>
                          <w:szCs w:val="24"/>
                        </w:rPr>
                        <w:t xml:space="preserve"> ожид</w:t>
                      </w:r>
                      <w:smartTag w:uri="urn:schemas-microsoft-com:office:smarttags" w:element="PersonName">
                        <w:r w:rsidRPr="00EB270A">
                          <w:rPr>
                            <w:rFonts w:ascii="Times New Roman" w:hAnsi="Times New Roman" w:cs="Times New Roman"/>
                            <w:sz w:val="24"/>
                            <w:szCs w:val="24"/>
                          </w:rPr>
                          <w:t>а</w:t>
                        </w:r>
                      </w:smartTag>
                      <w:r w:rsidRPr="00EB270A">
                        <w:rPr>
                          <w:rFonts w:ascii="Times New Roman" w:hAnsi="Times New Roman" w:cs="Times New Roman"/>
                          <w:sz w:val="24"/>
                          <w:szCs w:val="24"/>
                        </w:rPr>
                        <w:t>ть, скорее всего, не стоит»</w:t>
                      </w:r>
                    </w:p>
                  </w:txbxContent>
                </v:textbox>
                <w10:wrap type="tight"/>
              </v:shape>
            </w:pict>
          </mc:Fallback>
        </mc:AlternateContent>
      </w:r>
      <w:r w:rsidR="00C14B4D" w:rsidRPr="005F1178">
        <w:rPr>
          <w:rFonts w:ascii="Times New Roman" w:hAnsi="Times New Roman"/>
          <w:sz w:val="24"/>
          <w:szCs w:val="24"/>
          <w:lang w:eastAsia="ru-RU"/>
        </w:rPr>
        <w:t xml:space="preserve">Банк </w:t>
      </w:r>
      <w:proofErr w:type="spellStart"/>
      <w:r w:rsidR="00C14B4D" w:rsidRPr="005F1178">
        <w:rPr>
          <w:rFonts w:ascii="Times New Roman" w:hAnsi="Times New Roman"/>
          <w:sz w:val="24"/>
          <w:szCs w:val="24"/>
          <w:lang w:eastAsia="ru-RU"/>
        </w:rPr>
        <w:t>Уралсиб</w:t>
      </w:r>
      <w:proofErr w:type="spellEnd"/>
      <w:r w:rsidR="00E32B15" w:rsidRPr="005F1178">
        <w:rPr>
          <w:rFonts w:ascii="Times New Roman" w:hAnsi="Times New Roman"/>
          <w:sz w:val="24"/>
          <w:szCs w:val="24"/>
          <w:lang w:eastAsia="ru-RU"/>
        </w:rPr>
        <w:t xml:space="preserve"> </w:t>
      </w:r>
      <w:r w:rsidR="00C14B4D" w:rsidRPr="005F1178">
        <w:rPr>
          <w:rFonts w:ascii="Times New Roman" w:hAnsi="Times New Roman"/>
          <w:sz w:val="24"/>
          <w:szCs w:val="24"/>
          <w:lang w:eastAsia="ru-RU"/>
        </w:rPr>
        <w:t>увеличил портфель на 8,4%, в основном за счет традиционных для него кредитов на срок до 12 месяцев, выдаваемых заемщикам на пополнение оборотных средств.</w:t>
      </w:r>
    </w:p>
    <w:p w:rsidR="00C14B4D" w:rsidRPr="005F1178" w:rsidRDefault="00B210CD" w:rsidP="00C14B4D">
      <w:pPr>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w:t>
      </w:r>
      <w:r w:rsidR="00C14B4D" w:rsidRPr="005F1178">
        <w:rPr>
          <w:rFonts w:ascii="Times New Roman" w:hAnsi="Times New Roman"/>
          <w:sz w:val="24"/>
          <w:szCs w:val="24"/>
          <w:lang w:eastAsia="ru-RU"/>
        </w:rPr>
        <w:t>Московский Индустриальный Банк</w:t>
      </w:r>
      <w:r>
        <w:rPr>
          <w:rFonts w:ascii="Times New Roman" w:hAnsi="Times New Roman"/>
          <w:sz w:val="24"/>
          <w:szCs w:val="24"/>
          <w:lang w:eastAsia="ru-RU"/>
        </w:rPr>
        <w:t>»</w:t>
      </w:r>
      <w:r w:rsidR="00C14B4D" w:rsidRPr="005F1178">
        <w:rPr>
          <w:rFonts w:ascii="Times New Roman" w:hAnsi="Times New Roman"/>
          <w:sz w:val="24"/>
          <w:szCs w:val="24"/>
          <w:lang w:eastAsia="ru-RU"/>
        </w:rPr>
        <w:t xml:space="preserve"> сохранил 5 место, которое он занял по итогам </w:t>
      </w:r>
      <w:r>
        <w:rPr>
          <w:rFonts w:ascii="Times New Roman" w:hAnsi="Times New Roman"/>
          <w:sz w:val="24"/>
          <w:szCs w:val="24"/>
          <w:lang w:eastAsia="ru-RU"/>
        </w:rPr>
        <w:t xml:space="preserve">1 </w:t>
      </w:r>
      <w:r w:rsidR="00C14B4D" w:rsidRPr="005F1178">
        <w:rPr>
          <w:rFonts w:ascii="Times New Roman" w:hAnsi="Times New Roman"/>
          <w:sz w:val="24"/>
          <w:szCs w:val="24"/>
          <w:lang w:eastAsia="ru-RU"/>
        </w:rPr>
        <w:t xml:space="preserve">полугодия 2012 года. Более того, увеличив портфель на 24,1%, </w:t>
      </w:r>
      <w:proofErr w:type="spellStart"/>
      <w:r w:rsidR="00C14B4D" w:rsidRPr="005F1178">
        <w:rPr>
          <w:rFonts w:ascii="Times New Roman" w:hAnsi="Times New Roman"/>
          <w:sz w:val="24"/>
          <w:szCs w:val="24"/>
          <w:lang w:eastAsia="ru-RU"/>
        </w:rPr>
        <w:t>МИнБ</w:t>
      </w:r>
      <w:proofErr w:type="spellEnd"/>
      <w:r w:rsidR="00C14B4D" w:rsidRPr="005F1178">
        <w:rPr>
          <w:rFonts w:ascii="Times New Roman" w:hAnsi="Times New Roman"/>
          <w:sz w:val="24"/>
          <w:szCs w:val="24"/>
          <w:lang w:eastAsia="ru-RU"/>
        </w:rPr>
        <w:t xml:space="preserve"> сократил отставание от идущего четвертым Банка </w:t>
      </w:r>
      <w:proofErr w:type="spellStart"/>
      <w:r w:rsidR="00C14B4D" w:rsidRPr="005F1178">
        <w:rPr>
          <w:rFonts w:ascii="Times New Roman" w:hAnsi="Times New Roman"/>
          <w:sz w:val="24"/>
          <w:szCs w:val="24"/>
          <w:lang w:eastAsia="ru-RU"/>
        </w:rPr>
        <w:t>Уралсиб</w:t>
      </w:r>
      <w:proofErr w:type="spellEnd"/>
      <w:r w:rsidR="00C14B4D" w:rsidRPr="005F1178">
        <w:rPr>
          <w:rFonts w:ascii="Times New Roman" w:hAnsi="Times New Roman"/>
          <w:sz w:val="24"/>
          <w:szCs w:val="24"/>
          <w:lang w:eastAsia="ru-RU"/>
        </w:rPr>
        <w:t>. Почти ¾ портфеля кредитов, предоставленных субъектам малого и среднего бизнеса, составляют ссуды малому  бизнесу, выданные на срок до года.</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Банк «Возрождение» за год увеличил портфель кредитов МСБ всего на 2,7%. В портфеле по-прежнему преобладают короткие кредиты, предоставленные на срок до 12 месяцев. </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Группа </w:t>
      </w:r>
      <w:proofErr w:type="spellStart"/>
      <w:r w:rsidRPr="005F1178">
        <w:rPr>
          <w:rFonts w:ascii="Times New Roman" w:hAnsi="Times New Roman"/>
          <w:sz w:val="24"/>
          <w:szCs w:val="24"/>
          <w:lang w:eastAsia="ru-RU"/>
        </w:rPr>
        <w:t>НОМОС-БАНКа</w:t>
      </w:r>
      <w:proofErr w:type="spellEnd"/>
      <w:r w:rsidRPr="005F1178">
        <w:rPr>
          <w:rFonts w:ascii="Times New Roman" w:hAnsi="Times New Roman"/>
          <w:sz w:val="24"/>
          <w:szCs w:val="24"/>
          <w:lang w:eastAsia="ru-RU"/>
        </w:rPr>
        <w:t xml:space="preserve"> за год нарастила портфель кредитов субъектам МСБ на 42,2%, что выводит</w:t>
      </w:r>
      <w:r w:rsidR="00E16246" w:rsidRPr="005F1178">
        <w:rPr>
          <w:rFonts w:ascii="Times New Roman" w:hAnsi="Times New Roman"/>
          <w:sz w:val="24"/>
          <w:szCs w:val="24"/>
          <w:lang w:eastAsia="ru-RU"/>
        </w:rPr>
        <w:t xml:space="preserve"> </w:t>
      </w:r>
      <w:r w:rsidRPr="005F1178">
        <w:rPr>
          <w:rFonts w:ascii="Times New Roman" w:hAnsi="Times New Roman"/>
          <w:sz w:val="24"/>
          <w:szCs w:val="24"/>
          <w:lang w:eastAsia="ru-RU"/>
        </w:rPr>
        <w:t xml:space="preserve">ее в лидеры по темпам роста среди топ-10 нашего </w:t>
      </w:r>
      <w:proofErr w:type="spellStart"/>
      <w:r w:rsidRPr="005F1178">
        <w:rPr>
          <w:rFonts w:ascii="Times New Roman" w:hAnsi="Times New Roman"/>
          <w:sz w:val="24"/>
          <w:szCs w:val="24"/>
          <w:lang w:eastAsia="ru-RU"/>
        </w:rPr>
        <w:t>рэнкинга</w:t>
      </w:r>
      <w:proofErr w:type="spellEnd"/>
      <w:r w:rsidRPr="005F1178">
        <w:rPr>
          <w:rFonts w:ascii="Times New Roman" w:hAnsi="Times New Roman"/>
          <w:sz w:val="24"/>
          <w:szCs w:val="24"/>
          <w:lang w:eastAsia="ru-RU"/>
        </w:rPr>
        <w:t>.</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Среди </w:t>
      </w:r>
      <w:r w:rsidR="00EB270A" w:rsidRPr="005F1178">
        <w:rPr>
          <w:rFonts w:ascii="Times New Roman" w:hAnsi="Times New Roman"/>
          <w:sz w:val="24"/>
          <w:szCs w:val="24"/>
          <w:lang w:eastAsia="ru-RU"/>
        </w:rPr>
        <w:t>топ-10 банков по портфелю МСБ</w:t>
      </w:r>
      <w:r w:rsidRPr="005F1178">
        <w:rPr>
          <w:rFonts w:ascii="Times New Roman" w:hAnsi="Times New Roman"/>
          <w:sz w:val="24"/>
          <w:szCs w:val="24"/>
          <w:lang w:eastAsia="ru-RU"/>
        </w:rPr>
        <w:t xml:space="preserve"> </w:t>
      </w:r>
      <w:r w:rsidR="005A1353" w:rsidRPr="005F1178">
        <w:rPr>
          <w:rFonts w:ascii="Times New Roman" w:hAnsi="Times New Roman"/>
          <w:sz w:val="24"/>
          <w:szCs w:val="24"/>
          <w:lang w:eastAsia="ru-RU"/>
        </w:rPr>
        <w:t>обращаю</w:t>
      </w:r>
      <w:r w:rsidRPr="005F1178">
        <w:rPr>
          <w:rFonts w:ascii="Times New Roman" w:hAnsi="Times New Roman"/>
          <w:sz w:val="24"/>
          <w:szCs w:val="24"/>
          <w:lang w:eastAsia="ru-RU"/>
        </w:rPr>
        <w:t xml:space="preserve">т на себя внимание Банк </w:t>
      </w:r>
      <w:proofErr w:type="spellStart"/>
      <w:r w:rsidRPr="005F1178">
        <w:rPr>
          <w:rFonts w:ascii="Times New Roman" w:hAnsi="Times New Roman"/>
          <w:sz w:val="24"/>
          <w:szCs w:val="24"/>
          <w:lang w:eastAsia="ru-RU"/>
        </w:rPr>
        <w:t>Интеза</w:t>
      </w:r>
      <w:proofErr w:type="spellEnd"/>
      <w:r w:rsidRPr="005F1178">
        <w:rPr>
          <w:rFonts w:ascii="Times New Roman" w:hAnsi="Times New Roman"/>
          <w:sz w:val="24"/>
          <w:szCs w:val="24"/>
          <w:lang w:eastAsia="ru-RU"/>
        </w:rPr>
        <w:t xml:space="preserve"> и </w:t>
      </w:r>
      <w:proofErr w:type="spellStart"/>
      <w:r w:rsidRPr="005F1178">
        <w:rPr>
          <w:rFonts w:ascii="Times New Roman" w:hAnsi="Times New Roman"/>
          <w:sz w:val="24"/>
          <w:szCs w:val="24"/>
          <w:lang w:eastAsia="ru-RU"/>
        </w:rPr>
        <w:t>Юниаструмбанк</w:t>
      </w:r>
      <w:proofErr w:type="spellEnd"/>
      <w:r w:rsidRPr="005F1178">
        <w:rPr>
          <w:rFonts w:ascii="Times New Roman" w:hAnsi="Times New Roman"/>
          <w:sz w:val="24"/>
          <w:szCs w:val="24"/>
          <w:lang w:eastAsia="ru-RU"/>
        </w:rPr>
        <w:t xml:space="preserve">, кредитные </w:t>
      </w:r>
      <w:proofErr w:type="gramStart"/>
      <w:r w:rsidRPr="005F1178">
        <w:rPr>
          <w:rFonts w:ascii="Times New Roman" w:hAnsi="Times New Roman"/>
          <w:sz w:val="24"/>
          <w:szCs w:val="24"/>
          <w:lang w:eastAsia="ru-RU"/>
        </w:rPr>
        <w:t>портфели</w:t>
      </w:r>
      <w:proofErr w:type="gramEnd"/>
      <w:r w:rsidRPr="005F1178">
        <w:rPr>
          <w:rFonts w:ascii="Times New Roman" w:hAnsi="Times New Roman"/>
          <w:sz w:val="24"/>
          <w:szCs w:val="24"/>
          <w:lang w:eastAsia="ru-RU"/>
        </w:rPr>
        <w:t xml:space="preserve"> МСБ </w:t>
      </w:r>
      <w:proofErr w:type="gramStart"/>
      <w:r w:rsidRPr="005F1178">
        <w:rPr>
          <w:rFonts w:ascii="Times New Roman" w:hAnsi="Times New Roman"/>
          <w:sz w:val="24"/>
          <w:szCs w:val="24"/>
          <w:lang w:eastAsia="ru-RU"/>
        </w:rPr>
        <w:t>которых</w:t>
      </w:r>
      <w:proofErr w:type="gramEnd"/>
      <w:r w:rsidRPr="005F1178">
        <w:rPr>
          <w:rFonts w:ascii="Times New Roman" w:hAnsi="Times New Roman"/>
          <w:sz w:val="24"/>
          <w:szCs w:val="24"/>
          <w:lang w:eastAsia="ru-RU"/>
        </w:rPr>
        <w:t xml:space="preserve">, единственные из топ-10, продемонстрировали отрицательные темпы роста. При этом портфель МСБ Банка </w:t>
      </w:r>
      <w:proofErr w:type="spellStart"/>
      <w:r w:rsidRPr="005F1178">
        <w:rPr>
          <w:rFonts w:ascii="Times New Roman" w:hAnsi="Times New Roman"/>
          <w:sz w:val="24"/>
          <w:szCs w:val="24"/>
          <w:lang w:eastAsia="ru-RU"/>
        </w:rPr>
        <w:t>Интеза</w:t>
      </w:r>
      <w:proofErr w:type="spellEnd"/>
      <w:r w:rsidRPr="005F1178">
        <w:rPr>
          <w:rFonts w:ascii="Times New Roman" w:hAnsi="Times New Roman"/>
          <w:sz w:val="24"/>
          <w:szCs w:val="24"/>
          <w:lang w:eastAsia="ru-RU"/>
        </w:rPr>
        <w:t xml:space="preserve"> сокращается на </w:t>
      </w:r>
      <w:proofErr w:type="spellStart"/>
      <w:r w:rsidRPr="005F1178">
        <w:rPr>
          <w:rFonts w:ascii="Times New Roman" w:hAnsi="Times New Roman"/>
          <w:sz w:val="24"/>
          <w:szCs w:val="24"/>
          <w:lang w:eastAsia="ru-RU"/>
        </w:rPr>
        <w:t>протяжениие</w:t>
      </w:r>
      <w:proofErr w:type="spellEnd"/>
      <w:r w:rsidRPr="005F1178">
        <w:rPr>
          <w:rFonts w:ascii="Times New Roman" w:hAnsi="Times New Roman"/>
          <w:sz w:val="24"/>
          <w:szCs w:val="24"/>
          <w:lang w:eastAsia="ru-RU"/>
        </w:rPr>
        <w:t xml:space="preserve"> последних 3-х лет.</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p>
    <w:p w:rsidR="00C14B4D" w:rsidRPr="005F1178" w:rsidRDefault="008A4B70" w:rsidP="00C14B4D">
      <w:pPr>
        <w:jc w:val="center"/>
        <w:rPr>
          <w:b/>
        </w:rPr>
      </w:pPr>
      <w:r>
        <w:rPr>
          <w:b/>
        </w:rPr>
        <w:t xml:space="preserve">Таблица </w:t>
      </w:r>
      <w:r w:rsidRPr="003631A5">
        <w:rPr>
          <w:b/>
        </w:rPr>
        <w:t>1</w:t>
      </w:r>
      <w:r w:rsidR="00C14B4D" w:rsidRPr="005F1178">
        <w:rPr>
          <w:b/>
        </w:rPr>
        <w:t xml:space="preserve">. </w:t>
      </w:r>
      <w:proofErr w:type="spellStart"/>
      <w:r w:rsidR="00C14B4D" w:rsidRPr="005F1178">
        <w:rPr>
          <w:b/>
        </w:rPr>
        <w:t>Рэнкинг</w:t>
      </w:r>
      <w:proofErr w:type="spellEnd"/>
      <w:r w:rsidR="00C14B4D" w:rsidRPr="005F1178">
        <w:rPr>
          <w:b/>
        </w:rPr>
        <w:t xml:space="preserve"> по величине ссудного портфеля МСБ по итогам 2012 года</w:t>
      </w:r>
    </w:p>
    <w:tbl>
      <w:tblPr>
        <w:tblW w:w="10789" w:type="dxa"/>
        <w:tblInd w:w="93" w:type="dxa"/>
        <w:tblLayout w:type="fixed"/>
        <w:tblLook w:val="04A0" w:firstRow="1" w:lastRow="0" w:firstColumn="1" w:lastColumn="0" w:noHBand="0" w:noVBand="1"/>
      </w:tblPr>
      <w:tblGrid>
        <w:gridCol w:w="866"/>
        <w:gridCol w:w="1081"/>
        <w:gridCol w:w="903"/>
        <w:gridCol w:w="3261"/>
        <w:gridCol w:w="1417"/>
        <w:gridCol w:w="1418"/>
        <w:gridCol w:w="709"/>
        <w:gridCol w:w="1134"/>
      </w:tblGrid>
      <w:tr w:rsidR="00C14B4D" w:rsidRPr="005F1178" w:rsidTr="00C14B4D">
        <w:trPr>
          <w:trHeight w:val="20"/>
        </w:trPr>
        <w:tc>
          <w:tcPr>
            <w:tcW w:w="866"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C14B4D" w:rsidRPr="005F1178" w:rsidRDefault="00C14B4D" w:rsidP="00C14B4D">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Место по итогам 2012 года</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C14B4D" w:rsidRPr="005F1178" w:rsidRDefault="001D52CC" w:rsidP="00C14B4D">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М</w:t>
            </w:r>
            <w:r w:rsidR="00C14B4D" w:rsidRPr="005F1178">
              <w:rPr>
                <w:rFonts w:ascii="Times New Roman" w:eastAsia="Times New Roman" w:hAnsi="Times New Roman"/>
                <w:b/>
                <w:bCs/>
                <w:sz w:val="20"/>
                <w:szCs w:val="20"/>
                <w:lang w:eastAsia="ru-RU"/>
              </w:rPr>
              <w:t xml:space="preserve">есто в </w:t>
            </w:r>
            <w:proofErr w:type="spellStart"/>
            <w:r w:rsidR="00C14B4D" w:rsidRPr="005F1178">
              <w:rPr>
                <w:rFonts w:ascii="Times New Roman" w:eastAsia="Times New Roman" w:hAnsi="Times New Roman"/>
                <w:b/>
                <w:bCs/>
                <w:sz w:val="20"/>
                <w:szCs w:val="20"/>
                <w:lang w:eastAsia="ru-RU"/>
              </w:rPr>
              <w:t>рэнкинге</w:t>
            </w:r>
            <w:proofErr w:type="spellEnd"/>
            <w:r w:rsidR="00C14B4D" w:rsidRPr="005F1178">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w:t>
            </w:r>
            <w:r w:rsidR="00C14B4D" w:rsidRPr="005F1178">
              <w:rPr>
                <w:rFonts w:ascii="Times New Roman" w:eastAsia="Times New Roman" w:hAnsi="Times New Roman"/>
                <w:b/>
                <w:bCs/>
                <w:sz w:val="20"/>
                <w:szCs w:val="20"/>
                <w:lang w:eastAsia="ru-RU"/>
              </w:rPr>
              <w:t>Эксперт</w:t>
            </w:r>
            <w:r>
              <w:rPr>
                <w:rFonts w:ascii="Times New Roman" w:eastAsia="Times New Roman" w:hAnsi="Times New Roman"/>
                <w:b/>
                <w:bCs/>
                <w:sz w:val="20"/>
                <w:szCs w:val="20"/>
                <w:lang w:eastAsia="ru-RU"/>
              </w:rPr>
              <w:t>а</w:t>
            </w:r>
            <w:r w:rsidR="00C14B4D" w:rsidRPr="005F1178">
              <w:rPr>
                <w:rFonts w:ascii="Times New Roman" w:eastAsia="Times New Roman" w:hAnsi="Times New Roman"/>
                <w:b/>
                <w:bCs/>
                <w:sz w:val="20"/>
                <w:szCs w:val="20"/>
                <w:lang w:eastAsia="ru-RU"/>
              </w:rPr>
              <w:t xml:space="preserve"> </w:t>
            </w:r>
            <w:proofErr w:type="spellStart"/>
            <w:r w:rsidR="00C14B4D" w:rsidRPr="005F1178">
              <w:rPr>
                <w:rFonts w:ascii="Times New Roman" w:eastAsia="Times New Roman" w:hAnsi="Times New Roman"/>
                <w:b/>
                <w:bCs/>
                <w:sz w:val="20"/>
                <w:szCs w:val="20"/>
                <w:lang w:eastAsia="ru-RU"/>
              </w:rPr>
              <w:t>РА</w:t>
            </w:r>
            <w:proofErr w:type="gramStart"/>
            <w:r>
              <w:rPr>
                <w:rFonts w:ascii="Times New Roman" w:eastAsia="Times New Roman" w:hAnsi="Times New Roman"/>
                <w:b/>
                <w:bCs/>
                <w:sz w:val="20"/>
                <w:szCs w:val="20"/>
                <w:lang w:eastAsia="ru-RU"/>
              </w:rPr>
              <w:t>»</w:t>
            </w:r>
            <w:r w:rsidR="00C14B4D" w:rsidRPr="005F1178">
              <w:rPr>
                <w:rFonts w:ascii="Times New Roman" w:eastAsia="Times New Roman" w:hAnsi="Times New Roman"/>
                <w:b/>
                <w:bCs/>
                <w:sz w:val="20"/>
                <w:szCs w:val="20"/>
                <w:lang w:eastAsia="ru-RU"/>
              </w:rPr>
              <w:t>п</w:t>
            </w:r>
            <w:proofErr w:type="gramEnd"/>
            <w:r w:rsidR="00C14B4D" w:rsidRPr="005F1178">
              <w:rPr>
                <w:rFonts w:ascii="Times New Roman" w:eastAsia="Times New Roman" w:hAnsi="Times New Roman"/>
                <w:b/>
                <w:bCs/>
                <w:sz w:val="20"/>
                <w:szCs w:val="20"/>
                <w:lang w:eastAsia="ru-RU"/>
              </w:rPr>
              <w:t>о</w:t>
            </w:r>
            <w:proofErr w:type="spellEnd"/>
            <w:r w:rsidR="00C14B4D" w:rsidRPr="005F1178">
              <w:rPr>
                <w:rFonts w:ascii="Times New Roman" w:eastAsia="Times New Roman" w:hAnsi="Times New Roman"/>
                <w:b/>
                <w:bCs/>
                <w:sz w:val="20"/>
                <w:szCs w:val="20"/>
                <w:lang w:eastAsia="ru-RU"/>
              </w:rPr>
              <w:t xml:space="preserve"> итогам 2011 года</w:t>
            </w:r>
          </w:p>
        </w:tc>
        <w:tc>
          <w:tcPr>
            <w:tcW w:w="903"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C14B4D" w:rsidRPr="005F1178" w:rsidRDefault="00C14B4D" w:rsidP="00C14B4D">
            <w:pPr>
              <w:spacing w:after="0" w:line="240" w:lineRule="auto"/>
              <w:jc w:val="center"/>
              <w:rPr>
                <w:rFonts w:ascii="Times New Roman" w:eastAsia="Times New Roman" w:hAnsi="Times New Roman"/>
                <w:b/>
                <w:bCs/>
                <w:sz w:val="20"/>
                <w:szCs w:val="20"/>
                <w:lang w:eastAsia="ru-RU"/>
              </w:rPr>
            </w:pPr>
            <w:r w:rsidRPr="005F1178">
              <w:rPr>
                <w:rFonts w:ascii="Times New Roman" w:eastAsia="Times New Roman" w:hAnsi="Times New Roman"/>
                <w:b/>
                <w:bCs/>
                <w:sz w:val="20"/>
                <w:szCs w:val="20"/>
                <w:lang w:eastAsia="ru-RU"/>
              </w:rPr>
              <w:t xml:space="preserve">№ лицензии </w:t>
            </w:r>
            <w:r w:rsidR="001D52CC">
              <w:rPr>
                <w:rFonts w:ascii="Times New Roman" w:eastAsia="Times New Roman" w:hAnsi="Times New Roman"/>
                <w:b/>
                <w:bCs/>
                <w:sz w:val="20"/>
                <w:szCs w:val="20"/>
                <w:lang w:eastAsia="ru-RU"/>
              </w:rPr>
              <w:t>б</w:t>
            </w:r>
            <w:r w:rsidRPr="005F1178">
              <w:rPr>
                <w:rFonts w:ascii="Times New Roman" w:eastAsia="Times New Roman" w:hAnsi="Times New Roman"/>
                <w:b/>
                <w:bCs/>
                <w:sz w:val="20"/>
                <w:szCs w:val="20"/>
                <w:lang w:eastAsia="ru-RU"/>
              </w:rPr>
              <w:t>анка</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C14B4D" w:rsidRPr="005F1178" w:rsidRDefault="00C14B4D" w:rsidP="00C14B4D">
            <w:pPr>
              <w:spacing w:after="0" w:line="240" w:lineRule="auto"/>
              <w:jc w:val="center"/>
              <w:rPr>
                <w:rFonts w:ascii="Times New Roman" w:eastAsia="Times New Roman" w:hAnsi="Times New Roman"/>
                <w:b/>
                <w:bCs/>
                <w:sz w:val="20"/>
                <w:szCs w:val="20"/>
                <w:lang w:eastAsia="ru-RU"/>
              </w:rPr>
            </w:pPr>
            <w:r w:rsidRPr="005F1178">
              <w:rPr>
                <w:rFonts w:ascii="Times New Roman" w:eastAsia="Times New Roman" w:hAnsi="Times New Roman"/>
                <w:b/>
                <w:bCs/>
                <w:sz w:val="20"/>
                <w:szCs w:val="20"/>
                <w:lang w:eastAsia="ru-RU"/>
              </w:rPr>
              <w:t>Банк</w:t>
            </w:r>
          </w:p>
        </w:tc>
        <w:tc>
          <w:tcPr>
            <w:tcW w:w="2835" w:type="dxa"/>
            <w:gridSpan w:val="2"/>
            <w:tcBorders>
              <w:top w:val="single" w:sz="4" w:space="0" w:color="auto"/>
              <w:left w:val="nil"/>
              <w:bottom w:val="single" w:sz="4" w:space="0" w:color="auto"/>
              <w:right w:val="single" w:sz="4" w:space="0" w:color="auto"/>
            </w:tcBorders>
            <w:shd w:val="clear" w:color="000000" w:fill="C5D9F1"/>
            <w:vAlign w:val="center"/>
            <w:hideMark/>
          </w:tcPr>
          <w:p w:rsidR="00C14B4D" w:rsidRPr="005F1178" w:rsidRDefault="00C14B4D" w:rsidP="00C14B4D">
            <w:pPr>
              <w:spacing w:after="0" w:line="240" w:lineRule="auto"/>
              <w:jc w:val="center"/>
              <w:rPr>
                <w:rFonts w:ascii="Times New Roman" w:eastAsia="Times New Roman" w:hAnsi="Times New Roman"/>
                <w:b/>
                <w:bCs/>
                <w:sz w:val="20"/>
                <w:szCs w:val="20"/>
                <w:lang w:eastAsia="ru-RU"/>
              </w:rPr>
            </w:pPr>
            <w:r w:rsidRPr="005F1178">
              <w:rPr>
                <w:rFonts w:ascii="Times New Roman" w:eastAsia="Times New Roman" w:hAnsi="Times New Roman"/>
                <w:b/>
                <w:bCs/>
                <w:sz w:val="20"/>
                <w:szCs w:val="20"/>
                <w:lang w:eastAsia="ru-RU"/>
              </w:rPr>
              <w:t xml:space="preserve">Остаток ссудной задолженности по кредитам, выданным МСБ, </w:t>
            </w:r>
            <w:proofErr w:type="gramStart"/>
            <w:r w:rsidRPr="005F1178">
              <w:rPr>
                <w:rFonts w:ascii="Times New Roman" w:eastAsia="Times New Roman" w:hAnsi="Times New Roman"/>
                <w:b/>
                <w:bCs/>
                <w:sz w:val="20"/>
                <w:szCs w:val="20"/>
                <w:lang w:eastAsia="ru-RU"/>
              </w:rPr>
              <w:t>млн</w:t>
            </w:r>
            <w:proofErr w:type="gramEnd"/>
            <w:r w:rsidRPr="005F1178">
              <w:rPr>
                <w:rFonts w:ascii="Times New Roman" w:eastAsia="Times New Roman" w:hAnsi="Times New Roman"/>
                <w:b/>
                <w:bCs/>
                <w:sz w:val="20"/>
                <w:szCs w:val="20"/>
                <w:lang w:eastAsia="ru-RU"/>
              </w:rPr>
              <w:t xml:space="preserve"> руб</w:t>
            </w:r>
            <w:r w:rsidR="001D52CC">
              <w:rPr>
                <w:rFonts w:ascii="Times New Roman" w:eastAsia="Times New Roman" w:hAnsi="Times New Roman"/>
                <w:b/>
                <w:bCs/>
                <w:sz w:val="20"/>
                <w:szCs w:val="20"/>
                <w:lang w:eastAsia="ru-RU"/>
              </w:rPr>
              <w:t>лей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C14B4D" w:rsidRPr="005F1178" w:rsidRDefault="00C14B4D" w:rsidP="00C14B4D">
            <w:pPr>
              <w:spacing w:after="0" w:line="240" w:lineRule="auto"/>
              <w:jc w:val="center"/>
              <w:rPr>
                <w:rFonts w:ascii="Times New Roman" w:eastAsia="Times New Roman" w:hAnsi="Times New Roman"/>
                <w:b/>
                <w:bCs/>
                <w:sz w:val="20"/>
                <w:szCs w:val="20"/>
                <w:lang w:eastAsia="ru-RU"/>
              </w:rPr>
            </w:pPr>
            <w:r w:rsidRPr="005F1178">
              <w:rPr>
                <w:rFonts w:ascii="Times New Roman" w:eastAsia="Times New Roman" w:hAnsi="Times New Roman"/>
                <w:b/>
                <w:bCs/>
                <w:sz w:val="20"/>
                <w:szCs w:val="20"/>
                <w:lang w:eastAsia="ru-RU"/>
              </w:rPr>
              <w:t>Темп прироста 2012/2011,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C14B4D" w:rsidRPr="005F1178" w:rsidRDefault="003631A5" w:rsidP="00C14B4D">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w:t>
            </w:r>
            <w:r w:rsidR="00C14B4D" w:rsidRPr="005F1178">
              <w:rPr>
                <w:rFonts w:ascii="Times New Roman" w:eastAsia="Times New Roman" w:hAnsi="Times New Roman"/>
                <w:b/>
                <w:bCs/>
                <w:sz w:val="20"/>
                <w:szCs w:val="20"/>
                <w:lang w:eastAsia="ru-RU"/>
              </w:rPr>
              <w:t>ейтинг</w:t>
            </w:r>
            <w:r>
              <w:rPr>
                <w:rFonts w:ascii="Times New Roman" w:eastAsia="Times New Roman" w:hAnsi="Times New Roman"/>
                <w:b/>
                <w:bCs/>
                <w:sz w:val="20"/>
                <w:szCs w:val="20"/>
                <w:lang w:eastAsia="ru-RU"/>
              </w:rPr>
              <w:t>и</w:t>
            </w:r>
            <w:r w:rsidR="00C14B4D" w:rsidRPr="005F1178">
              <w:rPr>
                <w:rFonts w:ascii="Times New Roman" w:eastAsia="Times New Roman" w:hAnsi="Times New Roman"/>
                <w:b/>
                <w:bCs/>
                <w:sz w:val="20"/>
                <w:szCs w:val="20"/>
                <w:lang w:eastAsia="ru-RU"/>
              </w:rPr>
              <w:t xml:space="preserve"> кредитоспособности "</w:t>
            </w:r>
            <w:r w:rsidR="001D52CC">
              <w:rPr>
                <w:rFonts w:ascii="Times New Roman" w:eastAsia="Times New Roman" w:hAnsi="Times New Roman"/>
                <w:b/>
                <w:bCs/>
                <w:sz w:val="20"/>
                <w:szCs w:val="20"/>
                <w:lang w:eastAsia="ru-RU"/>
              </w:rPr>
              <w:t>»</w:t>
            </w:r>
            <w:r w:rsidR="00C14B4D" w:rsidRPr="005F1178">
              <w:rPr>
                <w:rFonts w:ascii="Times New Roman" w:eastAsia="Times New Roman" w:hAnsi="Times New Roman"/>
                <w:b/>
                <w:bCs/>
                <w:sz w:val="20"/>
                <w:szCs w:val="20"/>
                <w:lang w:eastAsia="ru-RU"/>
              </w:rPr>
              <w:t>Эксперт</w:t>
            </w:r>
            <w:r w:rsidR="001D52CC">
              <w:rPr>
                <w:rFonts w:ascii="Times New Roman" w:eastAsia="Times New Roman" w:hAnsi="Times New Roman"/>
                <w:b/>
                <w:bCs/>
                <w:sz w:val="20"/>
                <w:szCs w:val="20"/>
                <w:lang w:eastAsia="ru-RU"/>
              </w:rPr>
              <w:t>а</w:t>
            </w:r>
            <w:r w:rsidR="00C14B4D" w:rsidRPr="005F1178">
              <w:rPr>
                <w:rFonts w:ascii="Times New Roman" w:eastAsia="Times New Roman" w:hAnsi="Times New Roman"/>
                <w:b/>
                <w:bCs/>
                <w:sz w:val="20"/>
                <w:szCs w:val="20"/>
                <w:lang w:eastAsia="ru-RU"/>
              </w:rPr>
              <w:t xml:space="preserve"> РА</w:t>
            </w:r>
            <w:r w:rsidR="001D52CC">
              <w:rPr>
                <w:rFonts w:ascii="Times New Roman" w:eastAsia="Times New Roman" w:hAnsi="Times New Roman"/>
                <w:b/>
                <w:bCs/>
                <w:sz w:val="20"/>
                <w:szCs w:val="20"/>
                <w:lang w:eastAsia="ru-RU"/>
              </w:rPr>
              <w:t>»</w:t>
            </w:r>
          </w:p>
        </w:tc>
      </w:tr>
      <w:tr w:rsidR="00C14B4D" w:rsidRPr="005F1178" w:rsidTr="00C14B4D">
        <w:trPr>
          <w:trHeight w:val="2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C14B4D" w:rsidRPr="005F1178" w:rsidRDefault="00C14B4D" w:rsidP="00C14B4D">
            <w:pPr>
              <w:spacing w:after="0" w:line="240" w:lineRule="auto"/>
              <w:rPr>
                <w:rFonts w:ascii="Times New Roman" w:eastAsia="Times New Roman" w:hAnsi="Times New Roman"/>
                <w:b/>
                <w:bCs/>
                <w:color w:val="000000"/>
                <w:sz w:val="20"/>
                <w:szCs w:val="20"/>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C14B4D" w:rsidRPr="005F1178" w:rsidRDefault="00C14B4D" w:rsidP="00C14B4D">
            <w:pPr>
              <w:spacing w:after="0" w:line="240" w:lineRule="auto"/>
              <w:rPr>
                <w:rFonts w:ascii="Times New Roman" w:eastAsia="Times New Roman" w:hAnsi="Times New Roman"/>
                <w:b/>
                <w:bCs/>
                <w:sz w:val="20"/>
                <w:szCs w:val="20"/>
                <w:lang w:eastAsia="ru-RU"/>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rsidR="00C14B4D" w:rsidRPr="005F1178" w:rsidRDefault="00C14B4D" w:rsidP="00C14B4D">
            <w:pPr>
              <w:spacing w:after="0" w:line="240" w:lineRule="auto"/>
              <w:rPr>
                <w:rFonts w:ascii="Times New Roman" w:eastAsia="Times New Roman" w:hAnsi="Times New Roman"/>
                <w:b/>
                <w:bCs/>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14B4D" w:rsidRPr="005F1178" w:rsidRDefault="00C14B4D" w:rsidP="00C14B4D">
            <w:pPr>
              <w:spacing w:after="0" w:line="240" w:lineRule="auto"/>
              <w:rPr>
                <w:rFonts w:ascii="Times New Roman" w:eastAsia="Times New Roman" w:hAnsi="Times New Roman"/>
                <w:b/>
                <w:bCs/>
                <w:sz w:val="20"/>
                <w:szCs w:val="20"/>
                <w:lang w:eastAsia="ru-RU"/>
              </w:rPr>
            </w:pPr>
          </w:p>
        </w:tc>
        <w:tc>
          <w:tcPr>
            <w:tcW w:w="1417" w:type="dxa"/>
            <w:tcBorders>
              <w:top w:val="nil"/>
              <w:left w:val="nil"/>
              <w:bottom w:val="single" w:sz="4" w:space="0" w:color="auto"/>
              <w:right w:val="single" w:sz="4" w:space="0" w:color="auto"/>
            </w:tcBorders>
            <w:shd w:val="clear" w:color="000000" w:fill="C5D9F1"/>
            <w:noWrap/>
            <w:vAlign w:val="center"/>
            <w:hideMark/>
          </w:tcPr>
          <w:p w:rsidR="00C14B4D" w:rsidRPr="005F1178" w:rsidRDefault="00C14B4D" w:rsidP="00C14B4D">
            <w:pPr>
              <w:spacing w:after="0" w:line="240" w:lineRule="auto"/>
              <w:jc w:val="center"/>
              <w:rPr>
                <w:rFonts w:ascii="Times New Roman" w:eastAsia="Times New Roman" w:hAnsi="Times New Roman"/>
                <w:b/>
                <w:bCs/>
                <w:sz w:val="20"/>
                <w:szCs w:val="20"/>
                <w:lang w:eastAsia="ru-RU"/>
              </w:rPr>
            </w:pPr>
            <w:r w:rsidRPr="005F1178">
              <w:rPr>
                <w:rFonts w:ascii="Times New Roman" w:eastAsia="Times New Roman" w:hAnsi="Times New Roman"/>
                <w:b/>
                <w:bCs/>
                <w:sz w:val="20"/>
                <w:szCs w:val="20"/>
                <w:lang w:eastAsia="ru-RU"/>
              </w:rPr>
              <w:t>на 01.01.2013</w:t>
            </w:r>
          </w:p>
        </w:tc>
        <w:tc>
          <w:tcPr>
            <w:tcW w:w="1418" w:type="dxa"/>
            <w:tcBorders>
              <w:top w:val="nil"/>
              <w:left w:val="nil"/>
              <w:bottom w:val="single" w:sz="4" w:space="0" w:color="auto"/>
              <w:right w:val="single" w:sz="4" w:space="0" w:color="auto"/>
            </w:tcBorders>
            <w:shd w:val="clear" w:color="000000" w:fill="C5D9F1"/>
            <w:noWrap/>
            <w:vAlign w:val="center"/>
            <w:hideMark/>
          </w:tcPr>
          <w:p w:rsidR="00C14B4D" w:rsidRPr="005F1178" w:rsidRDefault="00C14B4D" w:rsidP="00C14B4D">
            <w:pPr>
              <w:spacing w:after="0" w:line="240" w:lineRule="auto"/>
              <w:jc w:val="center"/>
              <w:rPr>
                <w:rFonts w:ascii="Times New Roman" w:eastAsia="Times New Roman" w:hAnsi="Times New Roman"/>
                <w:b/>
                <w:bCs/>
                <w:sz w:val="20"/>
                <w:szCs w:val="20"/>
                <w:lang w:eastAsia="ru-RU"/>
              </w:rPr>
            </w:pPr>
            <w:r w:rsidRPr="005F1178">
              <w:rPr>
                <w:rFonts w:ascii="Times New Roman" w:eastAsia="Times New Roman" w:hAnsi="Times New Roman"/>
                <w:b/>
                <w:bCs/>
                <w:sz w:val="20"/>
                <w:szCs w:val="20"/>
                <w:lang w:eastAsia="ru-RU"/>
              </w:rPr>
              <w:t>на 01.01.2012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4B4D" w:rsidRPr="005F1178" w:rsidRDefault="00C14B4D" w:rsidP="00C14B4D">
            <w:pPr>
              <w:spacing w:after="0" w:line="240" w:lineRule="auto"/>
              <w:rPr>
                <w:rFonts w:ascii="Times New Roman" w:eastAsia="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4B4D" w:rsidRPr="005F1178" w:rsidRDefault="00C14B4D" w:rsidP="00C14B4D">
            <w:pPr>
              <w:spacing w:after="0" w:line="240" w:lineRule="auto"/>
              <w:rPr>
                <w:rFonts w:ascii="Times New Roman" w:eastAsia="Times New Roman" w:hAnsi="Times New Roman"/>
                <w:b/>
                <w:bCs/>
                <w:sz w:val="20"/>
                <w:szCs w:val="20"/>
                <w:lang w:eastAsia="ru-RU"/>
              </w:rPr>
            </w:pP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1481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Сбербанк России</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1 188 233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1 001 318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1623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692926">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ВТБ 24 (ЗАО)*</w:t>
            </w:r>
          </w:p>
        </w:tc>
        <w:tc>
          <w:tcPr>
            <w:tcW w:w="1417" w:type="dxa"/>
            <w:tcBorders>
              <w:top w:val="nil"/>
              <w:left w:val="nil"/>
              <w:bottom w:val="nil"/>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184 296</w:t>
            </w:r>
          </w:p>
        </w:tc>
        <w:tc>
          <w:tcPr>
            <w:tcW w:w="1418" w:type="dxa"/>
            <w:tcBorders>
              <w:top w:val="nil"/>
              <w:left w:val="nil"/>
              <w:bottom w:val="nil"/>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111 683</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3251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Промсвязьбанк</w:t>
            </w:r>
          </w:p>
        </w:tc>
        <w:tc>
          <w:tcPr>
            <w:tcW w:w="1417" w:type="dxa"/>
            <w:tcBorders>
              <w:top w:val="double" w:sz="6" w:space="0" w:color="auto"/>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101 471</w:t>
            </w:r>
          </w:p>
        </w:tc>
        <w:tc>
          <w:tcPr>
            <w:tcW w:w="1418" w:type="dxa"/>
            <w:tcBorders>
              <w:top w:val="double" w:sz="6" w:space="0" w:color="auto"/>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93 795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2275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БАНК  УРАЛСИБ</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88 624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81 775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МИнБ</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70 808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57 054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5</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1439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E32B15">
            <w:pPr>
              <w:spacing w:after="0" w:line="240" w:lineRule="auto"/>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 xml:space="preserve">Банк </w:t>
            </w:r>
            <w:r w:rsidR="009B33FE">
              <w:rPr>
                <w:rFonts w:ascii="Times New Roman" w:eastAsia="Times New Roman" w:hAnsi="Times New Roman"/>
                <w:sz w:val="20"/>
                <w:szCs w:val="20"/>
                <w:lang w:eastAsia="ru-RU"/>
              </w:rPr>
              <w:t>«</w:t>
            </w:r>
            <w:r w:rsidRPr="005F1178">
              <w:rPr>
                <w:rFonts w:ascii="Times New Roman" w:eastAsia="Times New Roman" w:hAnsi="Times New Roman"/>
                <w:sz w:val="20"/>
                <w:szCs w:val="20"/>
                <w:lang w:eastAsia="ru-RU"/>
              </w:rPr>
              <w:t>Возрождение</w:t>
            </w:r>
            <w:r w:rsidR="009B33FE">
              <w:rPr>
                <w:rFonts w:ascii="Times New Roman" w:eastAsia="Times New Roman" w:hAnsi="Times New Roman"/>
                <w:sz w:val="20"/>
                <w:szCs w:val="20"/>
                <w:lang w:eastAsia="ru-RU"/>
              </w:rPr>
              <w:t>»</w:t>
            </w:r>
            <w:r w:rsidRPr="005F1178">
              <w:rPr>
                <w:rFonts w:ascii="Times New Roman" w:eastAsia="Times New Roman" w:hAnsi="Times New Roman"/>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69 029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67 216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2,7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lastRenderedPageBreak/>
              <w:t>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val="en-US" w:eastAsia="ru-RU"/>
              </w:rPr>
            </w:pPr>
          </w:p>
        </w:tc>
        <w:tc>
          <w:tcPr>
            <w:tcW w:w="3261" w:type="dxa"/>
            <w:tcBorders>
              <w:top w:val="nil"/>
              <w:left w:val="nil"/>
              <w:bottom w:val="double" w:sz="6" w:space="0" w:color="auto"/>
              <w:right w:val="nil"/>
            </w:tcBorders>
            <w:shd w:val="clear" w:color="auto" w:fill="auto"/>
            <w:noWrap/>
            <w:vAlign w:val="bottom"/>
            <w:hideMark/>
          </w:tcPr>
          <w:p w:rsidR="00C14B4D" w:rsidRPr="005F1178" w:rsidRDefault="00E16246" w:rsidP="00C14B4D">
            <w:pPr>
              <w:spacing w:after="0" w:line="240" w:lineRule="auto"/>
              <w:rPr>
                <w:rFonts w:ascii="Times New Roman" w:eastAsia="Times New Roman" w:hAnsi="Times New Roman"/>
                <w:color w:val="000000"/>
                <w:sz w:val="20"/>
                <w:szCs w:val="20"/>
                <w:lang w:val="en-US" w:eastAsia="ru-RU"/>
              </w:rPr>
            </w:pPr>
            <w:r w:rsidRPr="005F1178">
              <w:rPr>
                <w:rFonts w:ascii="Times New Roman" w:eastAsia="Times New Roman" w:hAnsi="Times New Roman"/>
                <w:color w:val="000000"/>
                <w:sz w:val="20"/>
                <w:szCs w:val="20"/>
                <w:lang w:eastAsia="ru-RU"/>
              </w:rPr>
              <w:t xml:space="preserve">Группа </w:t>
            </w:r>
            <w:proofErr w:type="spellStart"/>
            <w:r w:rsidRPr="005F1178">
              <w:rPr>
                <w:rFonts w:ascii="Times New Roman" w:eastAsia="Times New Roman" w:hAnsi="Times New Roman"/>
                <w:color w:val="000000"/>
                <w:sz w:val="20"/>
                <w:szCs w:val="20"/>
                <w:lang w:eastAsia="ru-RU"/>
              </w:rPr>
              <w:t>НОМОС-Банка</w:t>
            </w:r>
            <w:proofErr w:type="spellEnd"/>
            <w:r w:rsidRPr="005F1178">
              <w:rPr>
                <w:rFonts w:ascii="Times New Roman" w:eastAsia="Times New Roman" w:hAnsi="Times New Roman"/>
                <w:color w:val="000000"/>
                <w:sz w:val="20"/>
                <w:szCs w:val="20"/>
                <w:lang w:eastAsia="ru-RU"/>
              </w:rPr>
              <w:t xml:space="preserve"> </w:t>
            </w:r>
            <w:r w:rsidR="00C14B4D" w:rsidRPr="005F1178">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40 756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28 666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2210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proofErr w:type="spellStart"/>
            <w:r w:rsidRPr="005F1178">
              <w:rPr>
                <w:rFonts w:ascii="Times New Roman" w:eastAsia="Times New Roman" w:hAnsi="Times New Roman"/>
                <w:color w:val="000000"/>
                <w:sz w:val="20"/>
                <w:szCs w:val="20"/>
                <w:lang w:eastAsia="ru-RU"/>
              </w:rPr>
              <w:t>Транскапиталбанк</w:t>
            </w:r>
            <w:proofErr w:type="spellEnd"/>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37 806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28 948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2771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ЮНИАСТРУМ БАНК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37 651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37 657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0,0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2216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Банк </w:t>
            </w:r>
            <w:proofErr w:type="spellStart"/>
            <w:r w:rsidRPr="005F1178">
              <w:rPr>
                <w:rFonts w:ascii="Times New Roman" w:eastAsia="Times New Roman" w:hAnsi="Times New Roman"/>
                <w:color w:val="000000"/>
                <w:sz w:val="20"/>
                <w:szCs w:val="20"/>
                <w:lang w:eastAsia="ru-RU"/>
              </w:rPr>
              <w:t>Интеза</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36 406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38 787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2763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Инвестторгбанк</w:t>
            </w:r>
            <w:proofErr w:type="spellEnd"/>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34 048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31 355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2590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АК БАРС</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28 785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25 612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2179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ОТКРЫТИЕ</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28 777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30 596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-5,9</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2748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Банк Москвы</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28 353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21 232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СКБ-Банк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24 568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17 744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3292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Райффайзенбанк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23 120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20 448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2272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ОАО АКБ РОСБАНК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22 621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13 252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2225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Центр-</w:t>
            </w:r>
            <w:proofErr w:type="spellStart"/>
            <w:r w:rsidRPr="005F1178">
              <w:rPr>
                <w:rFonts w:ascii="Times New Roman" w:eastAsia="Times New Roman" w:hAnsi="Times New Roman"/>
                <w:color w:val="000000"/>
                <w:sz w:val="20"/>
                <w:szCs w:val="20"/>
                <w:lang w:eastAsia="ru-RU"/>
              </w:rPr>
              <w:t>инвест</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21 852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19 929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2707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ЛОКО-Банк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20 691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16 275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3279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692926">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ТРАСТ</w:t>
            </w:r>
            <w:r w:rsidR="009B33FE">
              <w:rPr>
                <w:rFonts w:ascii="Times New Roman" w:eastAsia="Times New Roman" w:hAnsi="Times New Roman"/>
                <w:color w:val="000000"/>
                <w:sz w:val="20"/>
                <w:szCs w:val="20"/>
                <w:lang w:eastAsia="ru-RU"/>
              </w:rPr>
              <w:t>»</w:t>
            </w:r>
            <w:r w:rsidR="00E32B15" w:rsidRPr="005F1178">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20 446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16 578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23,3</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Санкт-Петербург</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20 388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13 200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54,5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1942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ГЛОБЭКСБАНК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20 048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15 287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2518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Кубань Кредит</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18 406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14 534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9B33FE" w:rsidP="00C14B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Запсибкомбанк</w:t>
            </w: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16 371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17 598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1460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692926">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Восточный</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16 535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5 969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177,0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3461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Первобанк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13 682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9 039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УБРиР</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13 630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7 992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3058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АИКБ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Татфондбанк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13 618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6 682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103,8</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2029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Смоленский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13 393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9 006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48,7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3176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БАЛТИНВЕСТБАНК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13 337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13 524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1470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Связь-Банк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12 592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9 820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3205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РУССТРОЙБАНК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12 457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6 577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89,4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Финансовая Группа </w:t>
            </w:r>
            <w:proofErr w:type="spellStart"/>
            <w:r w:rsidRPr="005F1178">
              <w:rPr>
                <w:rFonts w:ascii="Times New Roman" w:eastAsia="Times New Roman" w:hAnsi="Times New Roman"/>
                <w:color w:val="000000"/>
                <w:sz w:val="20"/>
                <w:szCs w:val="20"/>
                <w:lang w:eastAsia="ru-RU"/>
              </w:rPr>
              <w:t>Лайф</w:t>
            </w:r>
            <w:proofErr w:type="spellEnd"/>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11 479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8 873</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1885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ФОРА-БАНК</w:t>
            </w:r>
            <w:proofErr w:type="gramStart"/>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w:t>
            </w:r>
            <w:proofErr w:type="gramEnd"/>
            <w:r w:rsidRPr="005F1178">
              <w:rPr>
                <w:rFonts w:ascii="Times New Roman" w:eastAsia="Times New Roman" w:hAnsi="Times New Roman"/>
                <w:color w:val="000000"/>
                <w:sz w:val="20"/>
                <w:szCs w:val="20"/>
                <w:lang w:eastAsia="ru-RU"/>
              </w:rPr>
              <w:t>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11 185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10 812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Энергобанк</w:t>
            </w:r>
            <w:proofErr w:type="spellEnd"/>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10 303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10 161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1978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МКБ</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10 204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7 939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3255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ОАО Банк ЗЕНИТ</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9 966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8 055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2268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МТС-Банк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9 775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1 487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557,4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2816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БАНК СГБ</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8 780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7 972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2542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ФИА-БАНК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8 651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10 001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1810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9B33FE" w:rsidP="00C14B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Азиатско-Тихоокеанский Банк</w:t>
            </w: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8 011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6 063</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ЧЕЛЯБИНВЕСТБАНК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7 889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7 881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0,1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35</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ОАО Банк АВБ</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7 363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6 370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АЛЕКСАНДРОВСКИЙ</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6 606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6 988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47</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2562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БИНБАНК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6 515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3 504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85,9</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3077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Нацинвестпромбанк</w:t>
            </w:r>
            <w:proofErr w:type="spellEnd"/>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6 426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3 667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75,3</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485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ЧЕЛИНДБАНК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6 252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5 885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2377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proofErr w:type="spellStart"/>
            <w:r w:rsidRPr="005F1178">
              <w:rPr>
                <w:rFonts w:ascii="Times New Roman" w:eastAsia="Times New Roman" w:hAnsi="Times New Roman"/>
                <w:color w:val="000000"/>
                <w:sz w:val="20"/>
                <w:szCs w:val="20"/>
                <w:lang w:eastAsia="ru-RU"/>
              </w:rPr>
              <w:t>ИнвесткапиталБанк</w:t>
            </w:r>
            <w:proofErr w:type="spellEnd"/>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5 224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3 903</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33,8</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1677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БПФ 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4 941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5 158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44</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1319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Экономбанк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4 820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3 647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1752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АККСБ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КС БАНК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4 345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3 792</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40</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Урал ФД</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4 250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3 977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Энергомашбанк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4 113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3 595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48</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2306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Абсолют 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3 872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3 371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14,8</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Кредит-Москва</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3 861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3 050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3053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Гранд Инвест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3 591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3 284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9,3</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2767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РОСАВТОБАНК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3 435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3 700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А</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lastRenderedPageBreak/>
              <w:t>58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39</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2011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ЭКОПРОМБАНК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3 175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5 994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-47,0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2654</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Унифин</w:t>
            </w:r>
            <w:proofErr w:type="spellEnd"/>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3 149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2 586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21,8</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567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Акцепт</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3 029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2 051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47,7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55</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1455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proofErr w:type="spellStart"/>
            <w:r w:rsidRPr="005F1178">
              <w:rPr>
                <w:rFonts w:ascii="Times New Roman" w:eastAsia="Times New Roman" w:hAnsi="Times New Roman"/>
                <w:color w:val="000000"/>
                <w:sz w:val="20"/>
                <w:szCs w:val="20"/>
                <w:lang w:eastAsia="ru-RU"/>
              </w:rPr>
              <w:t>Автоградбанк</w:t>
            </w:r>
            <w:proofErr w:type="spellEnd"/>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2 943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2 069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60</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2782</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РБР</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2 652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1 827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3480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Банк БЦК-Москва</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2 628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2 998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-12,3</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59</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1343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Левобережный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2 558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1 671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1920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Ланта</w:t>
            </w:r>
            <w:proofErr w:type="spellEnd"/>
            <w:r w:rsidRPr="005F1178">
              <w:rPr>
                <w:rFonts w:ascii="Times New Roman" w:eastAsia="Times New Roman" w:hAnsi="Times New Roman"/>
                <w:color w:val="000000"/>
                <w:sz w:val="20"/>
                <w:szCs w:val="20"/>
                <w:lang w:eastAsia="ru-RU"/>
              </w:rPr>
              <w:t>-Банк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2 553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2 733</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Первомайский</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2 548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2 976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2859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НЕФТЯНОЙ АЛЬЯНС</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2 455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2 151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3073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РГС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2 424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2 418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0,2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2880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АГРОПРОМКРЕДИТ</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2 375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2 939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2733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СКБ Приморья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ПримСоцБанк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2 361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1 524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54,9</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1776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Банк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Петрокоммерц</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w:t>
            </w:r>
            <w:r w:rsidR="00692926">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2 132</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2172,2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2207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Спурт</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2 128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2 450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3311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КРЕДИТ ЕВРОПА 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2 001</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2 666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-24,9</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901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Меткомбанк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1 877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1 306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777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Тверьуниверсалбанк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1 690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1 574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58</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646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Ижкомбанк</w:t>
            </w:r>
            <w:proofErr w:type="spellEnd"/>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1 687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1 707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1809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НГАБ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Ермак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1 643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1 415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704</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ОИКБ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Русь</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1 589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1 614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2529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 ОАО 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АКТИВ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1 568</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1 203</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30,3</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68</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2900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АКБ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Земский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1 554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1 289</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20,6</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3434</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9B33FE" w:rsidP="00C14B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РИАБАНК</w:t>
            </w: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1 359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1 181</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2211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proofErr w:type="spellStart"/>
            <w:r w:rsidRPr="005F1178">
              <w:rPr>
                <w:rFonts w:ascii="Times New Roman" w:eastAsia="Times New Roman" w:hAnsi="Times New Roman"/>
                <w:color w:val="000000"/>
                <w:sz w:val="20"/>
                <w:szCs w:val="20"/>
                <w:lang w:eastAsia="ru-RU"/>
              </w:rPr>
              <w:t>Росэнергобанк</w:t>
            </w:r>
            <w:proofErr w:type="spellEnd"/>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1 266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1 258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0,7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72</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1049</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Хакасский муниципальный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1 226</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936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64</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2807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Трансстройбанк</w:t>
            </w:r>
            <w:proofErr w:type="spellEnd"/>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1 029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1 420</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А</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Кольцо Урала</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954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457</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108,7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2995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СТРОЙЛЕСБАНК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937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1 046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87</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3417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НОВЫЙ ВЕК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854</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1 274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-33,0</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88</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75</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2838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СИНКО-БАНК</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829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19,2</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89</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1137</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9B33FE" w:rsidP="00C14B4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БУМ-БАНК</w:t>
            </w:r>
            <w:r>
              <w:rPr>
                <w:rFonts w:ascii="Times New Roman" w:eastAsia="Times New Roman" w:hAnsi="Times New Roman"/>
                <w:color w:val="000000"/>
                <w:sz w:val="20"/>
                <w:szCs w:val="20"/>
                <w:lang w:eastAsia="ru-RU"/>
              </w:rPr>
              <w:t>»</w:t>
            </w:r>
            <w:r w:rsidR="00C14B4D" w:rsidRPr="005F1178">
              <w:rPr>
                <w:rFonts w:ascii="Times New Roman" w:eastAsia="Times New Roman" w:hAnsi="Times New Roman"/>
                <w:color w:val="000000"/>
                <w:sz w:val="20"/>
                <w:szCs w:val="20"/>
                <w:lang w:eastAsia="ru-RU"/>
              </w:rPr>
              <w:t>, ООО</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829</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748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10,8</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90</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2731</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ВостСибтранскомбанк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770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616</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2156</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Нефтепромбанк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730</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н/д</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н/д</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92</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2860</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Банк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Агророс</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688</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93</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3368</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СМП Банк</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157,5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94</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665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ГТ 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605</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112,7</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95</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76</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503</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Холмсккомбанк</w:t>
            </w:r>
            <w:proofErr w:type="spellEnd"/>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573</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624</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-8,1</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C14B4D" w:rsidRPr="005F1178" w:rsidTr="00C14B4D">
        <w:trPr>
          <w:trHeight w:val="20"/>
        </w:trPr>
        <w:tc>
          <w:tcPr>
            <w:tcW w:w="866"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96</w:t>
            </w:r>
          </w:p>
        </w:tc>
        <w:tc>
          <w:tcPr>
            <w:tcW w:w="108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c>
          <w:tcPr>
            <w:tcW w:w="903"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965</w:t>
            </w:r>
          </w:p>
        </w:tc>
        <w:tc>
          <w:tcPr>
            <w:tcW w:w="3261"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9B33FE">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ПЕРВОУРАЛЬСКБАНК</w:t>
            </w:r>
            <w:r w:rsidR="009B33FE">
              <w:rPr>
                <w:rFonts w:ascii="Times New Roman" w:eastAsia="Times New Roman" w:hAnsi="Times New Roman"/>
                <w:color w:val="000000"/>
                <w:sz w:val="20"/>
                <w:szCs w:val="20"/>
                <w:lang w:eastAsia="ru-RU"/>
              </w:rPr>
              <w:t>»</w:t>
            </w:r>
          </w:p>
        </w:tc>
        <w:tc>
          <w:tcPr>
            <w:tcW w:w="1417"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287</w:t>
            </w:r>
          </w:p>
        </w:tc>
        <w:tc>
          <w:tcPr>
            <w:tcW w:w="1418"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245</w:t>
            </w:r>
          </w:p>
        </w:tc>
        <w:tc>
          <w:tcPr>
            <w:tcW w:w="709"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17,5</w:t>
            </w:r>
          </w:p>
        </w:tc>
        <w:tc>
          <w:tcPr>
            <w:tcW w:w="1134" w:type="dxa"/>
            <w:tcBorders>
              <w:top w:val="nil"/>
              <w:left w:val="nil"/>
              <w:bottom w:val="double" w:sz="6" w:space="0" w:color="auto"/>
              <w:right w:val="nil"/>
            </w:tcBorders>
            <w:shd w:val="clear" w:color="auto" w:fill="auto"/>
            <w:noWrap/>
            <w:vAlign w:val="bottom"/>
            <w:hideMark/>
          </w:tcPr>
          <w:p w:rsidR="00C14B4D" w:rsidRPr="005F1178" w:rsidRDefault="00C14B4D" w:rsidP="00C14B4D">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bl>
    <w:p w:rsidR="00C14B4D" w:rsidRPr="005F1178" w:rsidRDefault="00C14B4D" w:rsidP="00C14B4D">
      <w:pPr>
        <w:tabs>
          <w:tab w:val="num" w:pos="1440"/>
        </w:tabs>
        <w:jc w:val="right"/>
        <w:rPr>
          <w:i/>
          <w:sz w:val="20"/>
          <w:szCs w:val="20"/>
        </w:rPr>
      </w:pPr>
      <w:r w:rsidRPr="005F1178">
        <w:tab/>
      </w:r>
      <w:r w:rsidRPr="005F1178">
        <w:rPr>
          <w:b/>
          <w:i/>
          <w:sz w:val="20"/>
          <w:szCs w:val="20"/>
        </w:rPr>
        <w:t>Источник:</w:t>
      </w:r>
      <w:r w:rsidRPr="005F1178">
        <w:rPr>
          <w:i/>
          <w:sz w:val="20"/>
          <w:szCs w:val="20"/>
        </w:rPr>
        <w:t xml:space="preserve"> оценка «Эксперта РА» по данным анкет банков</w:t>
      </w:r>
    </w:p>
    <w:p w:rsidR="00E32B15" w:rsidRPr="005F1178" w:rsidRDefault="00E32B15" w:rsidP="00E32B15">
      <w:pPr>
        <w:ind w:left="142"/>
        <w:rPr>
          <w:rFonts w:ascii="Times New Roman" w:hAnsi="Times New Roman"/>
          <w:sz w:val="18"/>
          <w:szCs w:val="18"/>
        </w:rPr>
      </w:pPr>
      <w:r w:rsidRPr="005F1178">
        <w:rPr>
          <w:rFonts w:ascii="Times New Roman" w:hAnsi="Times New Roman"/>
          <w:sz w:val="18"/>
          <w:szCs w:val="18"/>
        </w:rPr>
        <w:t>Здесь и далее</w:t>
      </w:r>
      <w:r w:rsidR="00217F42">
        <w:rPr>
          <w:rFonts w:ascii="Times New Roman" w:hAnsi="Times New Roman"/>
          <w:sz w:val="18"/>
          <w:szCs w:val="18"/>
        </w:rPr>
        <w:t>,</w:t>
      </w:r>
      <w:r w:rsidRPr="005F1178">
        <w:rPr>
          <w:rFonts w:ascii="Times New Roman" w:hAnsi="Times New Roman"/>
          <w:sz w:val="18"/>
          <w:szCs w:val="18"/>
        </w:rPr>
        <w:t xml:space="preserve"> </w:t>
      </w:r>
      <w:r w:rsidR="00692926">
        <w:rPr>
          <w:rFonts w:ascii="Times New Roman" w:hAnsi="Times New Roman"/>
          <w:sz w:val="18"/>
          <w:szCs w:val="18"/>
        </w:rPr>
        <w:t>«*</w:t>
      </w:r>
      <w:r w:rsidR="00692926" w:rsidRPr="005F1178">
        <w:rPr>
          <w:rFonts w:ascii="Times New Roman" w:hAnsi="Times New Roman"/>
          <w:sz w:val="18"/>
          <w:szCs w:val="18"/>
        </w:rPr>
        <w:t xml:space="preserve">» </w:t>
      </w:r>
      <w:r w:rsidR="00692926">
        <w:rPr>
          <w:rFonts w:ascii="Times New Roman" w:hAnsi="Times New Roman"/>
          <w:sz w:val="18"/>
          <w:szCs w:val="18"/>
        </w:rPr>
        <w:t>–</w:t>
      </w:r>
      <w:r w:rsidR="00692926" w:rsidRPr="005F1178">
        <w:rPr>
          <w:rFonts w:ascii="Times New Roman" w:hAnsi="Times New Roman"/>
          <w:sz w:val="18"/>
          <w:szCs w:val="18"/>
        </w:rPr>
        <w:t xml:space="preserve"> данные, предоставленные с учетом кредитов МСБ, оформленных на ФЛ</w:t>
      </w:r>
      <w:r w:rsidR="00692926">
        <w:rPr>
          <w:rFonts w:ascii="Times New Roman" w:hAnsi="Times New Roman"/>
          <w:sz w:val="18"/>
          <w:szCs w:val="18"/>
        </w:rPr>
        <w:t xml:space="preserve">, </w:t>
      </w:r>
      <w:r w:rsidRPr="005F1178">
        <w:rPr>
          <w:rFonts w:ascii="Times New Roman" w:hAnsi="Times New Roman"/>
          <w:sz w:val="18"/>
          <w:szCs w:val="18"/>
        </w:rPr>
        <w:t xml:space="preserve">«**» </w:t>
      </w:r>
      <w:r w:rsidR="009B33FE">
        <w:rPr>
          <w:rFonts w:ascii="Times New Roman" w:hAnsi="Times New Roman"/>
          <w:sz w:val="18"/>
          <w:szCs w:val="18"/>
        </w:rPr>
        <w:t>–</w:t>
      </w:r>
      <w:r w:rsidRPr="005F1178">
        <w:rPr>
          <w:rFonts w:ascii="Times New Roman" w:hAnsi="Times New Roman"/>
          <w:sz w:val="18"/>
          <w:szCs w:val="18"/>
        </w:rPr>
        <w:t xml:space="preserve"> </w:t>
      </w:r>
      <w:r w:rsidR="009B33FE">
        <w:rPr>
          <w:rFonts w:ascii="Times New Roman" w:hAnsi="Times New Roman"/>
          <w:sz w:val="18"/>
          <w:szCs w:val="18"/>
        </w:rPr>
        <w:t>в</w:t>
      </w:r>
      <w:r w:rsidR="00E16246" w:rsidRPr="005F1178">
        <w:rPr>
          <w:rFonts w:ascii="Times New Roman" w:hAnsi="Times New Roman"/>
          <w:sz w:val="18"/>
          <w:szCs w:val="18"/>
        </w:rPr>
        <w:t xml:space="preserve"> группу НОМОС входят Ханты-Мансийский Банк, НОМОС-РЕГИОБАНК, НОМОС-БАНК-Сибирь, Новосибирский Муниципальный банк</w:t>
      </w:r>
      <w:r w:rsidR="00217F42">
        <w:rPr>
          <w:rFonts w:ascii="Times New Roman" w:hAnsi="Times New Roman"/>
          <w:sz w:val="18"/>
          <w:szCs w:val="18"/>
        </w:rPr>
        <w:t>,</w:t>
      </w:r>
      <w:r w:rsidR="00692926" w:rsidRPr="00692926">
        <w:rPr>
          <w:rFonts w:ascii="Times New Roman" w:hAnsi="Times New Roman"/>
          <w:sz w:val="18"/>
          <w:szCs w:val="18"/>
        </w:rPr>
        <w:t xml:space="preserve"> </w:t>
      </w:r>
      <w:r w:rsidR="00692926" w:rsidRPr="005F1178">
        <w:rPr>
          <w:rFonts w:ascii="Times New Roman" w:hAnsi="Times New Roman"/>
          <w:sz w:val="18"/>
          <w:szCs w:val="18"/>
        </w:rPr>
        <w:t>«*</w:t>
      </w:r>
      <w:r w:rsidR="00692926">
        <w:rPr>
          <w:rFonts w:ascii="Times New Roman" w:hAnsi="Times New Roman"/>
          <w:sz w:val="18"/>
          <w:szCs w:val="18"/>
        </w:rPr>
        <w:t>**</w:t>
      </w:r>
      <w:r w:rsidR="00692926" w:rsidRPr="005F1178">
        <w:rPr>
          <w:rFonts w:ascii="Times New Roman" w:hAnsi="Times New Roman"/>
          <w:sz w:val="18"/>
          <w:szCs w:val="18"/>
        </w:rPr>
        <w:t>» – данные, предоставленные банками только по малому бизнесу</w:t>
      </w:r>
      <w:r w:rsidR="00692926">
        <w:rPr>
          <w:rFonts w:ascii="Times New Roman" w:hAnsi="Times New Roman"/>
          <w:sz w:val="18"/>
          <w:szCs w:val="18"/>
        </w:rPr>
        <w:t>.</w:t>
      </w:r>
    </w:p>
    <w:p w:rsidR="00C14B4D" w:rsidRPr="005F1178" w:rsidRDefault="00C14B4D" w:rsidP="00E32B15">
      <w:pPr>
        <w:pStyle w:val="1"/>
      </w:pPr>
      <w:bookmarkStart w:id="4" w:name="_Toc352162046"/>
      <w:r w:rsidRPr="005F1178">
        <w:lastRenderedPageBreak/>
        <w:t>Структура кредитных продуктов для МСБ</w:t>
      </w:r>
      <w:bookmarkEnd w:id="4"/>
    </w:p>
    <w:p w:rsidR="00C14B4D" w:rsidRPr="005F1178" w:rsidRDefault="00C14B4D" w:rsidP="00C14B4D">
      <w:pPr>
        <w:pStyle w:val="2"/>
      </w:pPr>
      <w:bookmarkStart w:id="5" w:name="_Toc352162047"/>
      <w:r w:rsidRPr="005F1178">
        <w:t>Тотальное обслуживание</w:t>
      </w:r>
      <w:bookmarkEnd w:id="5"/>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В условиях снижения доходов от кредитования крупные банки активно внедряют обслуживание МСБ по комплексным тарифам в надежде увеличить комиссионные доходы. Индивидуальный подход к клиенту МСБ был всегда одним из конкурентных преимуществ небольших банков. Фактически это комплексное обслуживание с той лишь разницей, что тарифный план в целом не формализован на бумаге. Крупные кредитные организации могут позволить себе это в отношении лишь относительно больших заемщиков и верхнего сегмента среднего бизнеса. Попытка внедрить обслуживание по комплексным тарифам и есть их ответ индивидуальному подходу, выработанному в конкурентной борьбе </w:t>
      </w:r>
      <w:r w:rsidR="00E32B15" w:rsidRPr="005F1178">
        <w:rPr>
          <w:rFonts w:ascii="Times New Roman" w:hAnsi="Times New Roman"/>
          <w:sz w:val="24"/>
          <w:szCs w:val="24"/>
          <w:lang w:eastAsia="ru-RU"/>
        </w:rPr>
        <w:t>небольшими</w:t>
      </w:r>
      <w:r w:rsidRPr="005F1178">
        <w:rPr>
          <w:rFonts w:ascii="Times New Roman" w:hAnsi="Times New Roman"/>
          <w:sz w:val="24"/>
          <w:szCs w:val="24"/>
          <w:lang w:eastAsia="ru-RU"/>
        </w:rPr>
        <w:t xml:space="preserve"> банками.</w:t>
      </w:r>
      <w:r w:rsidR="00EB270A" w:rsidRPr="005F1178">
        <w:rPr>
          <w:rFonts w:ascii="Times New Roman" w:hAnsi="Times New Roman"/>
          <w:sz w:val="24"/>
          <w:szCs w:val="24"/>
          <w:lang w:eastAsia="ru-RU"/>
        </w:rPr>
        <w:t xml:space="preserve"> «</w:t>
      </w:r>
      <w:r w:rsidR="00EB270A" w:rsidRPr="005F1178">
        <w:rPr>
          <w:rFonts w:ascii="Times New Roman" w:hAnsi="Times New Roman" w:cs="Times New Roman"/>
          <w:sz w:val="24"/>
          <w:szCs w:val="24"/>
        </w:rPr>
        <w:t>Спрос со стороны клиентов на пакетные предложения стабильно высокий и продолжает расти</w:t>
      </w:r>
      <w:r w:rsidR="00EB270A" w:rsidRPr="005F1178">
        <w:rPr>
          <w:rFonts w:ascii="Times New Roman" w:hAnsi="Times New Roman" w:cs="Times New Roman"/>
          <w:sz w:val="24"/>
          <w:szCs w:val="24"/>
          <w:lang w:eastAsia="ru-RU"/>
        </w:rPr>
        <w:t>»,</w:t>
      </w:r>
      <w:r w:rsidR="009E0FFC" w:rsidRPr="005F1178">
        <w:rPr>
          <w:rFonts w:ascii="Times New Roman" w:hAnsi="Times New Roman" w:cs="Times New Roman"/>
          <w:sz w:val="24"/>
          <w:szCs w:val="24"/>
          <w:lang w:eastAsia="ru-RU"/>
        </w:rPr>
        <w:t xml:space="preserve"> </w:t>
      </w:r>
      <w:r w:rsidR="00B74B8D">
        <w:rPr>
          <w:rFonts w:ascii="Times New Roman" w:hAnsi="Times New Roman" w:cs="Times New Roman"/>
          <w:sz w:val="24"/>
          <w:szCs w:val="24"/>
          <w:lang w:eastAsia="ru-RU"/>
        </w:rPr>
        <w:t>–</w:t>
      </w:r>
      <w:r w:rsidR="009E0FFC" w:rsidRPr="005F1178">
        <w:rPr>
          <w:rFonts w:ascii="Times New Roman" w:hAnsi="Times New Roman" w:cs="Times New Roman"/>
          <w:sz w:val="24"/>
          <w:szCs w:val="24"/>
          <w:lang w:eastAsia="ru-RU"/>
        </w:rPr>
        <w:t xml:space="preserve"> </w:t>
      </w:r>
      <w:r w:rsidR="00EB270A" w:rsidRPr="005F1178">
        <w:rPr>
          <w:rFonts w:ascii="Times New Roman" w:hAnsi="Times New Roman" w:cs="Times New Roman"/>
          <w:sz w:val="24"/>
          <w:szCs w:val="24"/>
          <w:lang w:eastAsia="ru-RU"/>
        </w:rPr>
        <w:t xml:space="preserve">говорит </w:t>
      </w:r>
      <w:r w:rsidR="00EB270A" w:rsidRPr="005F1178">
        <w:rPr>
          <w:rFonts w:ascii="Times New Roman" w:hAnsi="Times New Roman" w:cs="Times New Roman"/>
          <w:b/>
          <w:sz w:val="24"/>
          <w:szCs w:val="24"/>
        </w:rPr>
        <w:t xml:space="preserve">Лариса </w:t>
      </w:r>
      <w:proofErr w:type="spellStart"/>
      <w:r w:rsidR="00EB270A" w:rsidRPr="005F1178">
        <w:rPr>
          <w:rFonts w:ascii="Times New Roman" w:hAnsi="Times New Roman" w:cs="Times New Roman"/>
          <w:b/>
          <w:sz w:val="24"/>
          <w:szCs w:val="24"/>
        </w:rPr>
        <w:t>Швецова</w:t>
      </w:r>
      <w:proofErr w:type="spellEnd"/>
      <w:r w:rsidR="001E35DF" w:rsidRPr="005F1178">
        <w:rPr>
          <w:rFonts w:ascii="Times New Roman" w:hAnsi="Times New Roman" w:cs="Times New Roman"/>
          <w:sz w:val="24"/>
          <w:szCs w:val="24"/>
        </w:rPr>
        <w:t>,</w:t>
      </w:r>
      <w:r w:rsidR="001E35DF" w:rsidRPr="005F1178">
        <w:rPr>
          <w:rFonts w:ascii="Times New Roman" w:hAnsi="Times New Roman"/>
          <w:sz w:val="24"/>
          <w:szCs w:val="24"/>
          <w:lang w:eastAsia="ru-RU"/>
        </w:rPr>
        <w:t xml:space="preserve"> руководитель блока корпоративного бизнеса </w:t>
      </w:r>
      <w:proofErr w:type="spellStart"/>
      <w:r w:rsidR="001E35DF" w:rsidRPr="005F1178">
        <w:rPr>
          <w:rFonts w:ascii="Times New Roman" w:hAnsi="Times New Roman"/>
          <w:sz w:val="24"/>
          <w:szCs w:val="24"/>
          <w:lang w:eastAsia="ru-RU"/>
        </w:rPr>
        <w:t>БИНБАНКа</w:t>
      </w:r>
      <w:proofErr w:type="spellEnd"/>
      <w:r w:rsidR="00EB270A" w:rsidRPr="005F1178">
        <w:rPr>
          <w:rFonts w:ascii="Times New Roman" w:hAnsi="Times New Roman" w:cs="Times New Roman"/>
          <w:sz w:val="24"/>
          <w:szCs w:val="24"/>
          <w:lang w:eastAsia="ru-RU"/>
        </w:rPr>
        <w:t>.</w:t>
      </w:r>
      <w:r w:rsidR="005F1178" w:rsidRPr="005F1178">
        <w:rPr>
          <w:rFonts w:ascii="Times New Roman" w:hAnsi="Times New Roman" w:cs="Times New Roman"/>
          <w:sz w:val="24"/>
          <w:szCs w:val="24"/>
          <w:lang w:eastAsia="ru-RU"/>
        </w:rPr>
        <w:t xml:space="preserve"> </w:t>
      </w:r>
      <w:r w:rsidRPr="005F1178">
        <w:rPr>
          <w:rFonts w:ascii="Times New Roman" w:hAnsi="Times New Roman"/>
          <w:sz w:val="24"/>
          <w:szCs w:val="24"/>
          <w:lang w:eastAsia="ru-RU"/>
        </w:rPr>
        <w:t>Число тарифных планов, предлагаемых банками, выросло в 2012 году почти на 40%. Многие крупные банки, как показал опрос, проведенный «Эксперт</w:t>
      </w:r>
      <w:r w:rsidR="00B74B8D">
        <w:rPr>
          <w:rFonts w:ascii="Times New Roman" w:hAnsi="Times New Roman"/>
          <w:sz w:val="24"/>
          <w:szCs w:val="24"/>
          <w:lang w:eastAsia="ru-RU"/>
        </w:rPr>
        <w:t>ом</w:t>
      </w:r>
      <w:r w:rsidRPr="005F1178">
        <w:rPr>
          <w:rFonts w:ascii="Times New Roman" w:hAnsi="Times New Roman"/>
          <w:sz w:val="24"/>
          <w:szCs w:val="24"/>
          <w:lang w:eastAsia="ru-RU"/>
        </w:rPr>
        <w:t xml:space="preserve"> РА», сместили акценты своих рекламных кампаний на продвижение преимуществ покупки субъектом МСБ сразу целого пакета услуг. Это не замедлило сказаться на результатах: число МСБ, решивших избрать этот путь, выросло за 2012 год на 40%. При этом активно росло и число депозитных счетов МСБ в таких банках: + 46% за 2012 год.</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Спектр банковских услуг для МСБ достаточно широк, но лишь крупные банки оформляют его в виде пакетных предложений.</w:t>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t>График</w:t>
      </w:r>
      <w:r w:rsidR="008A4B70" w:rsidRPr="003631A5">
        <w:rPr>
          <w:rFonts w:ascii="Times New Roman" w:hAnsi="Times New Roman" w:cs="Times New Roman"/>
          <w:sz w:val="24"/>
          <w:szCs w:val="24"/>
        </w:rPr>
        <w:t xml:space="preserve"> </w:t>
      </w:r>
      <w:r w:rsidR="00923911">
        <w:rPr>
          <w:rFonts w:ascii="Times New Roman" w:hAnsi="Times New Roman" w:cs="Times New Roman"/>
          <w:sz w:val="24"/>
          <w:szCs w:val="24"/>
        </w:rPr>
        <w:t>2</w:t>
      </w:r>
      <w:r w:rsidRPr="005F1178">
        <w:rPr>
          <w:rFonts w:ascii="Times New Roman" w:hAnsi="Times New Roman" w:cs="Times New Roman"/>
          <w:sz w:val="24"/>
          <w:szCs w:val="24"/>
        </w:rPr>
        <w:t xml:space="preserve">. </w:t>
      </w:r>
      <w:r w:rsidR="00F15B04" w:rsidRPr="005F1178">
        <w:rPr>
          <w:rFonts w:ascii="Times New Roman" w:hAnsi="Times New Roman" w:cs="Times New Roman"/>
          <w:sz w:val="24"/>
          <w:szCs w:val="24"/>
        </w:rPr>
        <w:t>Зарплатные проекты в том или ином виде есть почти у всех банков</w:t>
      </w:r>
    </w:p>
    <w:p w:rsidR="00C14B4D" w:rsidRPr="005F1178" w:rsidRDefault="00C14B4D" w:rsidP="00C14B4D">
      <w:pPr>
        <w:jc w:val="both"/>
        <w:rPr>
          <w:i/>
        </w:rPr>
      </w:pPr>
      <w:r w:rsidRPr="005F1178">
        <w:rPr>
          <w:noProof/>
          <w:lang w:eastAsia="ru-RU"/>
        </w:rPr>
        <w:drawing>
          <wp:inline distT="0" distB="0" distL="0" distR="0" wp14:anchorId="21BCBE1C" wp14:editId="60D5F7A2">
            <wp:extent cx="5827166" cy="3957523"/>
            <wp:effectExtent l="0" t="0" r="21590" b="241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4B4D" w:rsidRPr="005F1178" w:rsidRDefault="00C14B4D" w:rsidP="00C14B4D">
      <w:pPr>
        <w:tabs>
          <w:tab w:val="num" w:pos="1440"/>
        </w:tabs>
        <w:jc w:val="right"/>
        <w:rPr>
          <w:i/>
          <w:sz w:val="20"/>
          <w:szCs w:val="20"/>
        </w:rPr>
      </w:pPr>
      <w:r w:rsidRPr="005F1178">
        <w:tab/>
      </w:r>
      <w:r w:rsidRPr="005F1178">
        <w:rPr>
          <w:b/>
          <w:i/>
          <w:sz w:val="20"/>
          <w:szCs w:val="20"/>
        </w:rPr>
        <w:t>Источник:</w:t>
      </w:r>
      <w:r w:rsidRPr="005F1178">
        <w:rPr>
          <w:i/>
          <w:sz w:val="20"/>
          <w:szCs w:val="20"/>
        </w:rPr>
        <w:t xml:space="preserve"> оценка «Эксперта РА» по данным анкет банков</w:t>
      </w:r>
    </w:p>
    <w:p w:rsidR="00C14B4D" w:rsidRPr="005F1178" w:rsidRDefault="008B70FA"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noProof/>
          <w:sz w:val="24"/>
          <w:szCs w:val="24"/>
          <w:lang w:eastAsia="ru-RU"/>
        </w:rPr>
        <w:lastRenderedPageBreak/>
        <mc:AlternateContent>
          <mc:Choice Requires="wps">
            <w:drawing>
              <wp:anchor distT="0" distB="0" distL="114300" distR="114300" simplePos="0" relativeHeight="251661312" behindDoc="1" locked="0" layoutInCell="1" allowOverlap="1" wp14:anchorId="0B89FC4A" wp14:editId="47A04EB7">
                <wp:simplePos x="0" y="0"/>
                <wp:positionH relativeFrom="column">
                  <wp:posOffset>3163570</wp:posOffset>
                </wp:positionH>
                <wp:positionV relativeFrom="paragraph">
                  <wp:posOffset>25400</wp:posOffset>
                </wp:positionV>
                <wp:extent cx="2667000" cy="1488440"/>
                <wp:effectExtent l="0" t="0" r="0" b="0"/>
                <wp:wrapTight wrapText="bothSides">
                  <wp:wrapPolygon edited="0">
                    <wp:start x="0" y="0"/>
                    <wp:lineTo x="0" y="21287"/>
                    <wp:lineTo x="21446" y="21287"/>
                    <wp:lineTo x="21446" y="0"/>
                    <wp:lineTo x="0" y="0"/>
                  </wp:wrapPolygon>
                </wp:wrapTight>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884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B46" w:rsidRPr="002D31F6" w:rsidRDefault="00925B46" w:rsidP="008B70FA">
                            <w:pPr>
                              <w:jc w:val="both"/>
                            </w:pPr>
                            <w:proofErr w:type="spellStart"/>
                            <w:r>
                              <w:rPr>
                                <w:b/>
                              </w:rPr>
                              <w:t>Надия</w:t>
                            </w:r>
                            <w:proofErr w:type="spellEnd"/>
                            <w:r>
                              <w:rPr>
                                <w:b/>
                              </w:rPr>
                              <w:t xml:space="preserve"> Черкасова об Интернете и МСБ</w:t>
                            </w:r>
                            <w:r w:rsidRPr="002D31F6">
                              <w:rPr>
                                <w:b/>
                              </w:rPr>
                              <w:t xml:space="preserve">: </w:t>
                            </w:r>
                            <w:r>
                              <w:rPr>
                                <w:rFonts w:ascii="Times New Roman" w:hAnsi="Times New Roman"/>
                                <w:i/>
                                <w:sz w:val="24"/>
                                <w:szCs w:val="24"/>
                              </w:rPr>
                              <w:t>«П</w:t>
                            </w:r>
                            <w:r w:rsidRPr="00991C7C">
                              <w:rPr>
                                <w:rFonts w:ascii="Times New Roman" w:hAnsi="Times New Roman"/>
                                <w:i/>
                                <w:sz w:val="24"/>
                                <w:szCs w:val="24"/>
                              </w:rPr>
                              <w:t xml:space="preserve">оявились новые каналы коммуникации:  активно развивались дистанционные способы предоставления кредитов МСБ и </w:t>
                            </w:r>
                            <w:r w:rsidRPr="00991C7C">
                              <w:rPr>
                                <w:rFonts w:ascii="Times New Roman" w:hAnsi="Times New Roman"/>
                                <w:i/>
                                <w:sz w:val="24"/>
                                <w:szCs w:val="24"/>
                                <w:lang w:val="en-US"/>
                              </w:rPr>
                              <w:t>SMM</w:t>
                            </w:r>
                            <w:r>
                              <w:rPr>
                                <w:rFonts w:ascii="Times New Roman" w:hAnsi="Times New Roman"/>
                                <w:i/>
                                <w:sz w:val="24"/>
                                <w:szCs w:val="24"/>
                              </w:rPr>
                              <w:t>-</w:t>
                            </w:r>
                            <w:r w:rsidRPr="00991C7C">
                              <w:rPr>
                                <w:rFonts w:ascii="Times New Roman" w:hAnsi="Times New Roman"/>
                                <w:i/>
                                <w:sz w:val="24"/>
                                <w:szCs w:val="24"/>
                              </w:rPr>
                              <w:t>маркетинг в социальных сетях</w:t>
                            </w:r>
                            <w:r>
                              <w:rPr>
                                <w:rFonts w:ascii="Times New Roman" w:hAnsi="Times New Roman"/>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left:0;text-align:left;margin-left:249.1pt;margin-top:2pt;width:210pt;height:11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" fillcolor="silver" stroked="f">
                <v:textbox>
                  <w:txbxContent>
                    <w:p w:rsidR="00925B46" w:rsidRPr="002D31F6" w:rsidRDefault="00925B46" w:rsidP="008B70FA">
                      <w:pPr>
                        <w:jc w:val="both"/>
                      </w:pPr>
                      <w:proofErr w:type="spellStart"/>
                      <w:r>
                        <w:rPr>
                          <w:b/>
                        </w:rPr>
                        <w:t>Надия</w:t>
                      </w:r>
                      <w:proofErr w:type="spellEnd"/>
                      <w:r>
                        <w:rPr>
                          <w:b/>
                        </w:rPr>
                        <w:t xml:space="preserve"> Черкасова об Интернете и МСБ</w:t>
                      </w:r>
                      <w:r w:rsidRPr="002D31F6">
                        <w:rPr>
                          <w:b/>
                        </w:rPr>
                        <w:t xml:space="preserve">: </w:t>
                      </w:r>
                      <w:r>
                        <w:rPr>
                          <w:rFonts w:ascii="Times New Roman" w:hAnsi="Times New Roman"/>
                          <w:i/>
                          <w:sz w:val="24"/>
                          <w:szCs w:val="24"/>
                        </w:rPr>
                        <w:t>«П</w:t>
                      </w:r>
                      <w:r w:rsidRPr="00991C7C">
                        <w:rPr>
                          <w:rFonts w:ascii="Times New Roman" w:hAnsi="Times New Roman"/>
                          <w:i/>
                          <w:sz w:val="24"/>
                          <w:szCs w:val="24"/>
                        </w:rPr>
                        <w:t xml:space="preserve">оявились новые каналы коммуникации:  активно развивались дистанционные способы предоставления кредитов МСБ и </w:t>
                      </w:r>
                      <w:r w:rsidRPr="00991C7C">
                        <w:rPr>
                          <w:rFonts w:ascii="Times New Roman" w:hAnsi="Times New Roman"/>
                          <w:i/>
                          <w:sz w:val="24"/>
                          <w:szCs w:val="24"/>
                          <w:lang w:val="en-US"/>
                        </w:rPr>
                        <w:t>SMM</w:t>
                      </w:r>
                      <w:r>
                        <w:rPr>
                          <w:rFonts w:ascii="Times New Roman" w:hAnsi="Times New Roman"/>
                          <w:i/>
                          <w:sz w:val="24"/>
                          <w:szCs w:val="24"/>
                        </w:rPr>
                        <w:t>-</w:t>
                      </w:r>
                      <w:r w:rsidRPr="00991C7C">
                        <w:rPr>
                          <w:rFonts w:ascii="Times New Roman" w:hAnsi="Times New Roman"/>
                          <w:i/>
                          <w:sz w:val="24"/>
                          <w:szCs w:val="24"/>
                        </w:rPr>
                        <w:t>маркетинг в социальных сетях</w:t>
                      </w:r>
                      <w:r>
                        <w:rPr>
                          <w:rFonts w:ascii="Times New Roman" w:hAnsi="Times New Roman"/>
                          <w:i/>
                          <w:sz w:val="24"/>
                          <w:szCs w:val="24"/>
                        </w:rPr>
                        <w:t>»</w:t>
                      </w:r>
                    </w:p>
                  </w:txbxContent>
                </v:textbox>
                <w10:wrap type="tight"/>
              </v:shape>
            </w:pict>
          </mc:Fallback>
        </mc:AlternateContent>
      </w:r>
      <w:r w:rsidR="00C14B4D" w:rsidRPr="005F1178">
        <w:rPr>
          <w:rFonts w:ascii="Times New Roman" w:hAnsi="Times New Roman"/>
          <w:sz w:val="24"/>
          <w:szCs w:val="24"/>
          <w:lang w:eastAsia="ru-RU"/>
        </w:rPr>
        <w:t xml:space="preserve">Современный банк должен стать финансовой службой «одного окна» для МСБ. В первую очередь самому банку нужно предоставлять полный спектр услуг, при этом общение с МСБ крайне желательно не распылять между различными службами кредитной организации, а концентрировать у одного-двух менеджеров. </w:t>
      </w:r>
      <w:r w:rsidRPr="005F1178">
        <w:rPr>
          <w:rFonts w:ascii="Times New Roman" w:hAnsi="Times New Roman"/>
          <w:sz w:val="24"/>
          <w:szCs w:val="24"/>
          <w:lang w:eastAsia="ru-RU"/>
        </w:rPr>
        <w:t xml:space="preserve">«Для клиентов среднего и малого бизнеса  менеджер становится финансовым консультантом, помощником, который знает и понимает бизнес клиента и способен </w:t>
      </w:r>
      <w:proofErr w:type="spellStart"/>
      <w:r w:rsidRPr="005F1178">
        <w:rPr>
          <w:rFonts w:ascii="Times New Roman" w:hAnsi="Times New Roman"/>
          <w:sz w:val="24"/>
          <w:szCs w:val="24"/>
          <w:lang w:eastAsia="ru-RU"/>
        </w:rPr>
        <w:t>проактивно</w:t>
      </w:r>
      <w:proofErr w:type="spellEnd"/>
      <w:r w:rsidRPr="005F1178">
        <w:rPr>
          <w:rFonts w:ascii="Times New Roman" w:hAnsi="Times New Roman"/>
          <w:sz w:val="24"/>
          <w:szCs w:val="24"/>
          <w:lang w:eastAsia="ru-RU"/>
        </w:rPr>
        <w:t xml:space="preserve"> развивать отношения с </w:t>
      </w:r>
      <w:r w:rsidR="00421631">
        <w:rPr>
          <w:rFonts w:ascii="Times New Roman" w:hAnsi="Times New Roman"/>
          <w:sz w:val="24"/>
          <w:szCs w:val="24"/>
          <w:lang w:eastAsia="ru-RU"/>
        </w:rPr>
        <w:t>к</w:t>
      </w:r>
      <w:r w:rsidRPr="005F1178">
        <w:rPr>
          <w:rFonts w:ascii="Times New Roman" w:hAnsi="Times New Roman"/>
          <w:sz w:val="24"/>
          <w:szCs w:val="24"/>
          <w:lang w:eastAsia="ru-RU"/>
        </w:rPr>
        <w:t xml:space="preserve">лиентом от имени </w:t>
      </w:r>
      <w:r w:rsidR="00421631">
        <w:rPr>
          <w:rFonts w:ascii="Times New Roman" w:hAnsi="Times New Roman"/>
          <w:sz w:val="24"/>
          <w:szCs w:val="24"/>
          <w:lang w:eastAsia="ru-RU"/>
        </w:rPr>
        <w:t>б</w:t>
      </w:r>
      <w:r w:rsidRPr="005F1178">
        <w:rPr>
          <w:rFonts w:ascii="Times New Roman" w:hAnsi="Times New Roman"/>
          <w:sz w:val="24"/>
          <w:szCs w:val="24"/>
          <w:lang w:eastAsia="ru-RU"/>
        </w:rPr>
        <w:t xml:space="preserve">анка», </w:t>
      </w:r>
      <w:r w:rsidR="00421631">
        <w:rPr>
          <w:rFonts w:ascii="Times New Roman" w:hAnsi="Times New Roman"/>
          <w:sz w:val="24"/>
          <w:szCs w:val="24"/>
          <w:lang w:eastAsia="ru-RU"/>
        </w:rPr>
        <w:t>–</w:t>
      </w:r>
      <w:r w:rsidRPr="005F1178">
        <w:rPr>
          <w:rFonts w:ascii="Times New Roman" w:hAnsi="Times New Roman"/>
          <w:sz w:val="24"/>
          <w:szCs w:val="24"/>
          <w:lang w:eastAsia="ru-RU"/>
        </w:rPr>
        <w:t xml:space="preserve"> говорит </w:t>
      </w:r>
      <w:r w:rsidRPr="005F1178">
        <w:rPr>
          <w:rFonts w:ascii="Times New Roman" w:hAnsi="Times New Roman"/>
          <w:b/>
          <w:sz w:val="24"/>
          <w:szCs w:val="24"/>
          <w:lang w:eastAsia="ru-RU"/>
        </w:rPr>
        <w:t xml:space="preserve">Лариса </w:t>
      </w:r>
      <w:proofErr w:type="spellStart"/>
      <w:r w:rsidRPr="005F1178">
        <w:rPr>
          <w:rFonts w:ascii="Times New Roman" w:hAnsi="Times New Roman"/>
          <w:b/>
          <w:sz w:val="24"/>
          <w:szCs w:val="24"/>
          <w:lang w:eastAsia="ru-RU"/>
        </w:rPr>
        <w:t>Швецова</w:t>
      </w:r>
      <w:proofErr w:type="spellEnd"/>
      <w:r w:rsidRPr="005F1178">
        <w:rPr>
          <w:rFonts w:ascii="Times New Roman" w:hAnsi="Times New Roman"/>
          <w:sz w:val="24"/>
          <w:szCs w:val="24"/>
          <w:lang w:eastAsia="ru-RU"/>
        </w:rPr>
        <w:t xml:space="preserve">. </w:t>
      </w:r>
      <w:r w:rsidR="00C14B4D" w:rsidRPr="005F1178">
        <w:rPr>
          <w:rFonts w:ascii="Times New Roman" w:hAnsi="Times New Roman"/>
          <w:sz w:val="24"/>
          <w:szCs w:val="24"/>
          <w:lang w:eastAsia="ru-RU"/>
        </w:rPr>
        <w:t xml:space="preserve">Банк может наращивать </w:t>
      </w:r>
      <w:r w:rsidR="001E35DF" w:rsidRPr="005F1178">
        <w:rPr>
          <w:rFonts w:ascii="Times New Roman" w:hAnsi="Times New Roman"/>
          <w:sz w:val="24"/>
          <w:szCs w:val="24"/>
          <w:lang w:eastAsia="ru-RU"/>
        </w:rPr>
        <w:t>обслуживание МСБ</w:t>
      </w:r>
      <w:r w:rsidR="00C14B4D" w:rsidRPr="005F1178">
        <w:rPr>
          <w:rFonts w:ascii="Times New Roman" w:hAnsi="Times New Roman"/>
          <w:sz w:val="24"/>
          <w:szCs w:val="24"/>
          <w:lang w:eastAsia="ru-RU"/>
        </w:rPr>
        <w:t xml:space="preserve"> по этапам. </w:t>
      </w:r>
      <w:proofErr w:type="gramStart"/>
      <w:r w:rsidR="00C14B4D" w:rsidRPr="005F1178">
        <w:rPr>
          <w:rFonts w:ascii="Times New Roman" w:hAnsi="Times New Roman"/>
          <w:sz w:val="24"/>
          <w:szCs w:val="24"/>
          <w:lang w:eastAsia="ru-RU"/>
        </w:rPr>
        <w:t>Ядро услуг – это обычное РКО, возможно</w:t>
      </w:r>
      <w:r w:rsidR="00421631">
        <w:rPr>
          <w:rFonts w:ascii="Times New Roman" w:hAnsi="Times New Roman"/>
          <w:sz w:val="24"/>
          <w:szCs w:val="24"/>
          <w:lang w:eastAsia="ru-RU"/>
        </w:rPr>
        <w:t xml:space="preserve"> –</w:t>
      </w:r>
      <w:r w:rsidR="00C14B4D" w:rsidRPr="005F1178">
        <w:rPr>
          <w:rFonts w:ascii="Times New Roman" w:hAnsi="Times New Roman"/>
          <w:sz w:val="24"/>
          <w:szCs w:val="24"/>
          <w:lang w:eastAsia="ru-RU"/>
        </w:rPr>
        <w:t xml:space="preserve"> с инкассацией, интернет-банкингом и т.</w:t>
      </w:r>
      <w:r w:rsidR="00421631">
        <w:rPr>
          <w:rFonts w:ascii="Times New Roman" w:hAnsi="Times New Roman"/>
          <w:sz w:val="24"/>
          <w:szCs w:val="24"/>
          <w:lang w:eastAsia="ru-RU"/>
        </w:rPr>
        <w:t xml:space="preserve"> </w:t>
      </w:r>
      <w:r w:rsidR="00C14B4D" w:rsidRPr="005F1178">
        <w:rPr>
          <w:rFonts w:ascii="Times New Roman" w:hAnsi="Times New Roman"/>
          <w:sz w:val="24"/>
          <w:szCs w:val="24"/>
          <w:lang w:eastAsia="ru-RU"/>
        </w:rPr>
        <w:t>д. Второй уровень – это кредитование, обслуживание ВЭД и прочие «продвинутые» услуги.</w:t>
      </w:r>
      <w:proofErr w:type="gramEnd"/>
      <w:r w:rsidR="00C14B4D" w:rsidRPr="005F1178">
        <w:rPr>
          <w:rFonts w:ascii="Times New Roman" w:hAnsi="Times New Roman"/>
          <w:sz w:val="24"/>
          <w:szCs w:val="24"/>
          <w:lang w:eastAsia="ru-RU"/>
        </w:rPr>
        <w:t xml:space="preserve"> Третий – бизнес-консалтинг, в который вовлекаются специализированные подразделения банка.</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t>График</w:t>
      </w:r>
      <w:r w:rsidR="008A4B70" w:rsidRPr="003631A5">
        <w:rPr>
          <w:rFonts w:ascii="Times New Roman" w:hAnsi="Times New Roman" w:cs="Times New Roman"/>
          <w:sz w:val="24"/>
          <w:szCs w:val="24"/>
        </w:rPr>
        <w:t xml:space="preserve"> </w:t>
      </w:r>
      <w:r w:rsidR="00923911">
        <w:rPr>
          <w:rFonts w:ascii="Times New Roman" w:hAnsi="Times New Roman" w:cs="Times New Roman"/>
          <w:sz w:val="24"/>
          <w:szCs w:val="24"/>
        </w:rPr>
        <w:t>3</w:t>
      </w:r>
      <w:r w:rsidRPr="005F1178">
        <w:rPr>
          <w:rFonts w:ascii="Times New Roman" w:hAnsi="Times New Roman" w:cs="Times New Roman"/>
          <w:sz w:val="24"/>
          <w:szCs w:val="24"/>
        </w:rPr>
        <w:t xml:space="preserve">. Финансовый супермаркет </w:t>
      </w:r>
    </w:p>
    <w:p w:rsidR="00C14B4D" w:rsidRPr="005F1178" w:rsidRDefault="00C14B4D" w:rsidP="00C14B4D">
      <w:pPr>
        <w:jc w:val="center"/>
        <w:rPr>
          <w:rFonts w:ascii="Times New Roman" w:hAnsi="Times New Roman" w:cs="Times New Roman"/>
          <w:sz w:val="24"/>
          <w:szCs w:val="24"/>
        </w:rPr>
      </w:pPr>
    </w:p>
    <w:p w:rsidR="00C14B4D" w:rsidRPr="005F1178" w:rsidRDefault="00C14B4D" w:rsidP="00C14B4D">
      <w:pPr>
        <w:rPr>
          <w:rFonts w:ascii="Times New Roman" w:hAnsi="Times New Roman"/>
          <w:sz w:val="24"/>
          <w:szCs w:val="24"/>
          <w:lang w:eastAsia="ru-RU"/>
        </w:rPr>
      </w:pPr>
      <w:r w:rsidRPr="005F1178">
        <w:rPr>
          <w:rFonts w:ascii="Times New Roman" w:hAnsi="Times New Roman"/>
          <w:noProof/>
          <w:sz w:val="24"/>
          <w:szCs w:val="24"/>
          <w:lang w:eastAsia="ru-RU"/>
        </w:rPr>
        <w:drawing>
          <wp:inline distT="0" distB="0" distL="0" distR="0" wp14:anchorId="29603378" wp14:editId="6AA3511E">
            <wp:extent cx="5486400" cy="3200400"/>
            <wp:effectExtent l="0" t="0" r="0" b="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14B4D" w:rsidRPr="005F1178" w:rsidRDefault="00C14B4D" w:rsidP="00C14B4D">
      <w:pPr>
        <w:tabs>
          <w:tab w:val="num" w:pos="1440"/>
        </w:tabs>
        <w:jc w:val="right"/>
        <w:rPr>
          <w:i/>
          <w:sz w:val="20"/>
          <w:szCs w:val="20"/>
        </w:rPr>
      </w:pPr>
      <w:r w:rsidRPr="005F1178">
        <w:tab/>
      </w:r>
      <w:r w:rsidRPr="005F1178">
        <w:rPr>
          <w:b/>
          <w:i/>
          <w:sz w:val="20"/>
          <w:szCs w:val="20"/>
        </w:rPr>
        <w:t>Источник:</w:t>
      </w:r>
      <w:r w:rsidRPr="005F1178">
        <w:rPr>
          <w:i/>
          <w:sz w:val="20"/>
          <w:szCs w:val="20"/>
        </w:rPr>
        <w:t xml:space="preserve"> «Эксперт РА» </w:t>
      </w:r>
    </w:p>
    <w:p w:rsidR="00C14B4D" w:rsidRPr="005F1178" w:rsidRDefault="00C14B4D" w:rsidP="00C14B4D">
      <w:pPr>
        <w:rPr>
          <w:rFonts w:ascii="Times New Roman" w:hAnsi="Times New Roman"/>
          <w:sz w:val="24"/>
          <w:szCs w:val="24"/>
          <w:lang w:eastAsia="ru-RU"/>
        </w:rPr>
      </w:pPr>
    </w:p>
    <w:p w:rsidR="0084520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В том числе сюда относ</w:t>
      </w:r>
      <w:r w:rsidR="00421631">
        <w:rPr>
          <w:rFonts w:ascii="Times New Roman" w:hAnsi="Times New Roman"/>
          <w:sz w:val="24"/>
          <w:szCs w:val="24"/>
          <w:lang w:eastAsia="ru-RU"/>
        </w:rPr>
        <w:t>я</w:t>
      </w:r>
      <w:r w:rsidRPr="005F1178">
        <w:rPr>
          <w:rFonts w:ascii="Times New Roman" w:hAnsi="Times New Roman"/>
          <w:sz w:val="24"/>
          <w:szCs w:val="24"/>
          <w:lang w:eastAsia="ru-RU"/>
        </w:rPr>
        <w:t>тся налоговый консалтинг, помощь в структурировани</w:t>
      </w:r>
      <w:r w:rsidR="0084520D" w:rsidRPr="005F1178">
        <w:rPr>
          <w:rFonts w:ascii="Times New Roman" w:hAnsi="Times New Roman"/>
          <w:sz w:val="24"/>
          <w:szCs w:val="24"/>
          <w:lang w:eastAsia="ru-RU"/>
        </w:rPr>
        <w:t>и</w:t>
      </w:r>
      <w:r w:rsidRPr="005F1178">
        <w:rPr>
          <w:rFonts w:ascii="Times New Roman" w:hAnsi="Times New Roman"/>
          <w:sz w:val="24"/>
          <w:szCs w:val="24"/>
          <w:lang w:eastAsia="ru-RU"/>
        </w:rPr>
        <w:t xml:space="preserve"> проектов, помощь в общении с госорганами. На этом уровне банк получает бонус – возможность существенно снизить принимаемые кредитные риски за счет глубокого изучения бизнеса заемщика, а не только анализа оборотов по счету и формальных показателей из отчетности, с комментариями заемщиков к ним. </w:t>
      </w:r>
    </w:p>
    <w:p w:rsidR="00C14B4D" w:rsidRPr="005F1178" w:rsidRDefault="008D177B"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lastRenderedPageBreak/>
        <w:t xml:space="preserve">Четвертый </w:t>
      </w:r>
      <w:r w:rsidR="00421631">
        <w:rPr>
          <w:rFonts w:ascii="Times New Roman" w:hAnsi="Times New Roman"/>
          <w:sz w:val="24"/>
          <w:szCs w:val="24"/>
          <w:lang w:eastAsia="ru-RU"/>
        </w:rPr>
        <w:t>(</w:t>
      </w:r>
      <w:r w:rsidRPr="005F1178">
        <w:rPr>
          <w:rFonts w:ascii="Times New Roman" w:hAnsi="Times New Roman"/>
          <w:sz w:val="24"/>
          <w:szCs w:val="24"/>
          <w:lang w:eastAsia="ru-RU"/>
        </w:rPr>
        <w:t>самый высокий</w:t>
      </w:r>
      <w:r w:rsidR="00C14B4D" w:rsidRPr="005F1178">
        <w:rPr>
          <w:rFonts w:ascii="Times New Roman" w:hAnsi="Times New Roman"/>
          <w:sz w:val="24"/>
          <w:szCs w:val="24"/>
          <w:lang w:eastAsia="ru-RU"/>
        </w:rPr>
        <w:t xml:space="preserve"> для Банка</w:t>
      </w:r>
      <w:r w:rsidR="00421631">
        <w:rPr>
          <w:rFonts w:ascii="Times New Roman" w:hAnsi="Times New Roman"/>
          <w:sz w:val="24"/>
          <w:szCs w:val="24"/>
          <w:lang w:eastAsia="ru-RU"/>
        </w:rPr>
        <w:t>)</w:t>
      </w:r>
      <w:r w:rsidR="00C14B4D" w:rsidRPr="005F1178">
        <w:rPr>
          <w:rFonts w:ascii="Times New Roman" w:hAnsi="Times New Roman"/>
          <w:sz w:val="24"/>
          <w:szCs w:val="24"/>
          <w:lang w:eastAsia="ru-RU"/>
        </w:rPr>
        <w:t xml:space="preserve"> уровень – роль медиатора </w:t>
      </w:r>
      <w:proofErr w:type="gramStart"/>
      <w:r w:rsidR="00C14B4D" w:rsidRPr="005F1178">
        <w:rPr>
          <w:rFonts w:ascii="Times New Roman" w:hAnsi="Times New Roman"/>
          <w:sz w:val="24"/>
          <w:szCs w:val="24"/>
          <w:lang w:eastAsia="ru-RU"/>
        </w:rPr>
        <w:t>бизнес-среды</w:t>
      </w:r>
      <w:proofErr w:type="gramEnd"/>
      <w:r w:rsidR="00C14B4D" w:rsidRPr="005F1178">
        <w:rPr>
          <w:rFonts w:ascii="Times New Roman" w:hAnsi="Times New Roman"/>
          <w:sz w:val="24"/>
          <w:szCs w:val="24"/>
          <w:lang w:eastAsia="ru-RU"/>
        </w:rPr>
        <w:t>, работа уже не столько с отдельными бизнесами, сколько с кластерами МСБ, объединенными производственными цепочками и деловыми связями.</w:t>
      </w:r>
    </w:p>
    <w:p w:rsidR="00C14B4D" w:rsidRPr="005F1178" w:rsidRDefault="00276473"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Здесь бан</w:t>
      </w:r>
      <w:r w:rsidR="0084520D" w:rsidRPr="005F1178">
        <w:rPr>
          <w:rFonts w:ascii="Times New Roman" w:hAnsi="Times New Roman"/>
          <w:sz w:val="24"/>
          <w:szCs w:val="24"/>
          <w:lang w:eastAsia="ru-RU"/>
        </w:rPr>
        <w:t>ки</w:t>
      </w:r>
      <w:r w:rsidRPr="005F1178">
        <w:rPr>
          <w:rFonts w:ascii="Times New Roman" w:hAnsi="Times New Roman"/>
          <w:sz w:val="24"/>
          <w:szCs w:val="24"/>
          <w:lang w:eastAsia="ru-RU"/>
        </w:rPr>
        <w:t>, в первую очередь небольши</w:t>
      </w:r>
      <w:r w:rsidR="0084520D" w:rsidRPr="005F1178">
        <w:rPr>
          <w:rFonts w:ascii="Times New Roman" w:hAnsi="Times New Roman"/>
          <w:sz w:val="24"/>
          <w:szCs w:val="24"/>
          <w:lang w:eastAsia="ru-RU"/>
        </w:rPr>
        <w:t>е</w:t>
      </w:r>
      <w:r w:rsidRPr="005F1178">
        <w:rPr>
          <w:rFonts w:ascii="Times New Roman" w:hAnsi="Times New Roman"/>
          <w:sz w:val="24"/>
          <w:szCs w:val="24"/>
          <w:lang w:eastAsia="ru-RU"/>
        </w:rPr>
        <w:t xml:space="preserve">, </w:t>
      </w:r>
      <w:r w:rsidR="00C14B4D" w:rsidRPr="005F1178">
        <w:rPr>
          <w:rFonts w:ascii="Times New Roman" w:hAnsi="Times New Roman"/>
          <w:sz w:val="24"/>
          <w:szCs w:val="24"/>
          <w:lang w:eastAsia="ru-RU"/>
        </w:rPr>
        <w:t>подстерегает опасность – концентрация рисков,</w:t>
      </w:r>
      <w:r w:rsidR="007409D9">
        <w:rPr>
          <w:rFonts w:ascii="Times New Roman" w:hAnsi="Times New Roman"/>
          <w:sz w:val="24"/>
          <w:szCs w:val="24"/>
          <w:lang w:eastAsia="ru-RU"/>
        </w:rPr>
        <w:t xml:space="preserve"> причем</w:t>
      </w:r>
      <w:r w:rsidR="00C14B4D" w:rsidRPr="005F1178">
        <w:rPr>
          <w:rFonts w:ascii="Times New Roman" w:hAnsi="Times New Roman"/>
          <w:sz w:val="24"/>
          <w:szCs w:val="24"/>
          <w:lang w:eastAsia="ru-RU"/>
        </w:rPr>
        <w:t xml:space="preserve"> не только кредитных, но</w:t>
      </w:r>
      <w:r w:rsidR="007409D9">
        <w:rPr>
          <w:rFonts w:ascii="Times New Roman" w:hAnsi="Times New Roman"/>
          <w:sz w:val="24"/>
          <w:szCs w:val="24"/>
          <w:lang w:eastAsia="ru-RU"/>
        </w:rPr>
        <w:t xml:space="preserve"> и</w:t>
      </w:r>
      <w:r w:rsidR="00C14B4D" w:rsidRPr="005F1178">
        <w:rPr>
          <w:rFonts w:ascii="Times New Roman" w:hAnsi="Times New Roman"/>
          <w:sz w:val="24"/>
          <w:szCs w:val="24"/>
          <w:lang w:eastAsia="ru-RU"/>
        </w:rPr>
        <w:t xml:space="preserve"> </w:t>
      </w:r>
      <w:r w:rsidR="0084520D" w:rsidRPr="005F1178">
        <w:rPr>
          <w:rFonts w:ascii="Times New Roman" w:hAnsi="Times New Roman"/>
          <w:sz w:val="24"/>
          <w:szCs w:val="24"/>
          <w:lang w:eastAsia="ru-RU"/>
        </w:rPr>
        <w:t xml:space="preserve">рисков ликвидности, </w:t>
      </w:r>
      <w:r w:rsidR="00C14B4D" w:rsidRPr="005F1178">
        <w:rPr>
          <w:rFonts w:ascii="Times New Roman" w:hAnsi="Times New Roman"/>
          <w:sz w:val="24"/>
          <w:szCs w:val="24"/>
          <w:lang w:eastAsia="ru-RU"/>
        </w:rPr>
        <w:t xml:space="preserve">связанных с оттоками с клиентских счетов. Для </w:t>
      </w:r>
      <w:r w:rsidRPr="005F1178">
        <w:rPr>
          <w:rFonts w:ascii="Times New Roman" w:hAnsi="Times New Roman"/>
          <w:sz w:val="24"/>
          <w:szCs w:val="24"/>
          <w:lang w:eastAsia="ru-RU"/>
        </w:rPr>
        <w:t>регионального</w:t>
      </w:r>
      <w:r w:rsidR="00C14B4D" w:rsidRPr="005F1178">
        <w:rPr>
          <w:rFonts w:ascii="Times New Roman" w:hAnsi="Times New Roman"/>
          <w:sz w:val="24"/>
          <w:szCs w:val="24"/>
          <w:lang w:eastAsia="ru-RU"/>
        </w:rPr>
        <w:t xml:space="preserve"> банка активное обслуживание кластеров МСБ может привести к тому, что в какой-то момент его бизнес станет слишком зависимым от нескольких, пусть даже и длинных</w:t>
      </w:r>
      <w:r w:rsidR="007409D9">
        <w:rPr>
          <w:rFonts w:ascii="Times New Roman" w:hAnsi="Times New Roman"/>
          <w:sz w:val="24"/>
          <w:szCs w:val="24"/>
          <w:lang w:eastAsia="ru-RU"/>
        </w:rPr>
        <w:t>,</w:t>
      </w:r>
      <w:r w:rsidR="00C14B4D" w:rsidRPr="005F1178">
        <w:rPr>
          <w:rFonts w:ascii="Times New Roman" w:hAnsi="Times New Roman"/>
          <w:sz w:val="24"/>
          <w:szCs w:val="24"/>
          <w:lang w:eastAsia="ru-RU"/>
        </w:rPr>
        <w:t xml:space="preserve"> </w:t>
      </w:r>
      <w:proofErr w:type="gramStart"/>
      <w:r w:rsidR="00C14B4D" w:rsidRPr="005F1178">
        <w:rPr>
          <w:rFonts w:ascii="Times New Roman" w:hAnsi="Times New Roman"/>
          <w:sz w:val="24"/>
          <w:szCs w:val="24"/>
          <w:lang w:eastAsia="ru-RU"/>
        </w:rPr>
        <w:t>бизнес-цепочек</w:t>
      </w:r>
      <w:proofErr w:type="gramEnd"/>
      <w:r w:rsidR="00C14B4D" w:rsidRPr="005F1178">
        <w:rPr>
          <w:rFonts w:ascii="Times New Roman" w:hAnsi="Times New Roman"/>
          <w:sz w:val="24"/>
          <w:szCs w:val="24"/>
          <w:lang w:eastAsia="ru-RU"/>
        </w:rPr>
        <w:t>. Это может дать МСБ возможность «продавливать» свои условия на переговорах. Кроме того, резко раст</w:t>
      </w:r>
      <w:r w:rsidR="007409D9">
        <w:rPr>
          <w:rFonts w:ascii="Times New Roman" w:hAnsi="Times New Roman"/>
          <w:sz w:val="24"/>
          <w:szCs w:val="24"/>
          <w:lang w:eastAsia="ru-RU"/>
        </w:rPr>
        <w:t>у</w:t>
      </w:r>
      <w:r w:rsidR="00C14B4D" w:rsidRPr="005F1178">
        <w:rPr>
          <w:rFonts w:ascii="Times New Roman" w:hAnsi="Times New Roman"/>
          <w:sz w:val="24"/>
          <w:szCs w:val="24"/>
          <w:lang w:eastAsia="ru-RU"/>
        </w:rPr>
        <w:t>т кросс-</w:t>
      </w:r>
      <w:proofErr w:type="spellStart"/>
      <w:r w:rsidR="00C14B4D" w:rsidRPr="005F1178">
        <w:rPr>
          <w:rFonts w:ascii="Times New Roman" w:hAnsi="Times New Roman"/>
          <w:sz w:val="24"/>
          <w:szCs w:val="24"/>
          <w:lang w:eastAsia="ru-RU"/>
        </w:rPr>
        <w:t>дефолтность</w:t>
      </w:r>
      <w:proofErr w:type="spellEnd"/>
      <w:r w:rsidR="00C14B4D" w:rsidRPr="005F1178">
        <w:rPr>
          <w:rFonts w:ascii="Times New Roman" w:hAnsi="Times New Roman"/>
          <w:sz w:val="24"/>
          <w:szCs w:val="24"/>
          <w:lang w:eastAsia="ru-RU"/>
        </w:rPr>
        <w:t xml:space="preserve"> кредитного портфеля и сезонность клиентских остатков. Филиал крупного банка проблеме сезонности подвержен слабо (всегда можно опереться на ресурсы головного офиса)</w:t>
      </w:r>
      <w:r w:rsidR="00007A26" w:rsidRPr="005F1178">
        <w:rPr>
          <w:rFonts w:ascii="Times New Roman" w:hAnsi="Times New Roman"/>
          <w:sz w:val="24"/>
          <w:szCs w:val="24"/>
          <w:lang w:eastAsia="ru-RU"/>
        </w:rPr>
        <w:t>,</w:t>
      </w:r>
      <w:r w:rsidR="00C14B4D" w:rsidRPr="005F1178">
        <w:rPr>
          <w:rFonts w:ascii="Times New Roman" w:hAnsi="Times New Roman"/>
          <w:sz w:val="24"/>
          <w:szCs w:val="24"/>
          <w:lang w:eastAsia="ru-RU"/>
        </w:rPr>
        <w:t xml:space="preserve"> а вот кросс-</w:t>
      </w:r>
      <w:proofErr w:type="spellStart"/>
      <w:r w:rsidR="00C14B4D" w:rsidRPr="005F1178">
        <w:rPr>
          <w:rFonts w:ascii="Times New Roman" w:hAnsi="Times New Roman"/>
          <w:sz w:val="24"/>
          <w:szCs w:val="24"/>
          <w:lang w:eastAsia="ru-RU"/>
        </w:rPr>
        <w:t>дефолтность</w:t>
      </w:r>
      <w:proofErr w:type="spellEnd"/>
      <w:r w:rsidR="00C14B4D" w:rsidRPr="005F1178">
        <w:rPr>
          <w:rFonts w:ascii="Times New Roman" w:hAnsi="Times New Roman"/>
          <w:sz w:val="24"/>
          <w:szCs w:val="24"/>
          <w:lang w:eastAsia="ru-RU"/>
        </w:rPr>
        <w:t xml:space="preserve"> может </w:t>
      </w:r>
      <w:r w:rsidR="00007A26" w:rsidRPr="005F1178">
        <w:rPr>
          <w:rFonts w:ascii="Times New Roman" w:hAnsi="Times New Roman"/>
          <w:sz w:val="24"/>
          <w:szCs w:val="24"/>
          <w:lang w:eastAsia="ru-RU"/>
        </w:rPr>
        <w:t>стать серьезной</w:t>
      </w:r>
      <w:r w:rsidR="00C14B4D" w:rsidRPr="005F1178">
        <w:rPr>
          <w:rFonts w:ascii="Times New Roman" w:hAnsi="Times New Roman"/>
          <w:sz w:val="24"/>
          <w:szCs w:val="24"/>
          <w:lang w:eastAsia="ru-RU"/>
        </w:rPr>
        <w:t xml:space="preserve"> проблемой. </w:t>
      </w:r>
    </w:p>
    <w:p w:rsidR="00C14B4D" w:rsidRPr="005F1178" w:rsidRDefault="00C14B4D" w:rsidP="00C14B4D">
      <w:pPr>
        <w:pStyle w:val="2"/>
      </w:pPr>
      <w:bookmarkStart w:id="6" w:name="_Toc352162048"/>
      <w:r w:rsidRPr="005F1178">
        <w:t>Отрасли и сроки: уход от рисков</w:t>
      </w:r>
      <w:bookmarkEnd w:id="6"/>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В 2012 году продуктовая линейка кредитов для МСБ </w:t>
      </w:r>
      <w:r w:rsidR="00F15B04" w:rsidRPr="005F1178">
        <w:rPr>
          <w:rFonts w:ascii="Times New Roman" w:hAnsi="Times New Roman"/>
          <w:sz w:val="24"/>
          <w:szCs w:val="24"/>
          <w:lang w:eastAsia="ru-RU"/>
        </w:rPr>
        <w:t>сместилась</w:t>
      </w:r>
      <w:r w:rsidRPr="005F1178">
        <w:rPr>
          <w:rFonts w:ascii="Times New Roman" w:hAnsi="Times New Roman"/>
          <w:sz w:val="24"/>
          <w:szCs w:val="24"/>
          <w:lang w:eastAsia="ru-RU"/>
        </w:rPr>
        <w:t xml:space="preserve"> в сторону более технологичных, конвейерных продуктов. Кредитование, требующее сложного структурирования, подробного изучения бизнес-планов, анализа отраслевых рынков</w:t>
      </w:r>
      <w:r w:rsidR="00EC0806">
        <w:rPr>
          <w:rFonts w:ascii="Times New Roman" w:hAnsi="Times New Roman"/>
          <w:sz w:val="24"/>
          <w:szCs w:val="24"/>
          <w:lang w:eastAsia="ru-RU"/>
        </w:rPr>
        <w:t>,</w:t>
      </w:r>
      <w:r w:rsidRPr="005F1178">
        <w:rPr>
          <w:rFonts w:ascii="Times New Roman" w:hAnsi="Times New Roman"/>
          <w:sz w:val="24"/>
          <w:szCs w:val="24"/>
          <w:lang w:eastAsia="ru-RU"/>
        </w:rPr>
        <w:t xml:space="preserve"> отошло на второй план. </w:t>
      </w:r>
      <w:proofErr w:type="gramStart"/>
      <w:r w:rsidRPr="005F1178">
        <w:rPr>
          <w:rFonts w:ascii="Times New Roman" w:hAnsi="Times New Roman"/>
          <w:sz w:val="24"/>
          <w:szCs w:val="24"/>
          <w:lang w:eastAsia="ru-RU"/>
        </w:rPr>
        <w:t>Доля кредитов торговому сектору в 2012 году по сравнению с 2011 годом выросла на 5 п.</w:t>
      </w:r>
      <w:r w:rsidR="00EC0806">
        <w:rPr>
          <w:rFonts w:ascii="Times New Roman" w:hAnsi="Times New Roman"/>
          <w:sz w:val="24"/>
          <w:szCs w:val="24"/>
          <w:lang w:eastAsia="ru-RU"/>
        </w:rPr>
        <w:t xml:space="preserve"> </w:t>
      </w:r>
      <w:r w:rsidRPr="005F1178">
        <w:rPr>
          <w:rFonts w:ascii="Times New Roman" w:hAnsi="Times New Roman"/>
          <w:sz w:val="24"/>
          <w:szCs w:val="24"/>
          <w:lang w:eastAsia="ru-RU"/>
        </w:rPr>
        <w:t>п.</w:t>
      </w:r>
      <w:r w:rsidR="00EC0806">
        <w:rPr>
          <w:rFonts w:ascii="Times New Roman" w:hAnsi="Times New Roman"/>
          <w:sz w:val="24"/>
          <w:szCs w:val="24"/>
          <w:lang w:eastAsia="ru-RU"/>
        </w:rPr>
        <w:t>,</w:t>
      </w:r>
      <w:r w:rsidRPr="005F1178">
        <w:rPr>
          <w:rFonts w:ascii="Times New Roman" w:hAnsi="Times New Roman"/>
          <w:sz w:val="24"/>
          <w:szCs w:val="24"/>
          <w:lang w:eastAsia="ru-RU"/>
        </w:rPr>
        <w:t xml:space="preserve"> до уровня 50%. Заметно снизилась срочность: по итогам 2012 года 61,6% кредитов было выдано на сроки до 12 месяцев (</w:t>
      </w:r>
      <w:r w:rsidR="00925B46">
        <w:rPr>
          <w:rFonts w:ascii="Times New Roman" w:hAnsi="Times New Roman"/>
          <w:sz w:val="24"/>
          <w:szCs w:val="24"/>
          <w:lang w:eastAsia="ru-RU"/>
        </w:rPr>
        <w:t>56</w:t>
      </w:r>
      <w:r w:rsidRPr="005F1178">
        <w:rPr>
          <w:rFonts w:ascii="Times New Roman" w:hAnsi="Times New Roman"/>
          <w:sz w:val="24"/>
          <w:szCs w:val="24"/>
          <w:lang w:eastAsia="ru-RU"/>
        </w:rPr>
        <w:t>% в 2011 году), доля ссуд свыше 3 лет составила всего 1</w:t>
      </w:r>
      <w:r w:rsidR="00925B46">
        <w:rPr>
          <w:rFonts w:ascii="Times New Roman" w:hAnsi="Times New Roman"/>
          <w:sz w:val="24"/>
          <w:szCs w:val="24"/>
          <w:lang w:eastAsia="ru-RU"/>
        </w:rPr>
        <w:t>7</w:t>
      </w:r>
      <w:r w:rsidRPr="005F1178">
        <w:rPr>
          <w:rFonts w:ascii="Times New Roman" w:hAnsi="Times New Roman"/>
          <w:sz w:val="24"/>
          <w:szCs w:val="24"/>
          <w:lang w:eastAsia="ru-RU"/>
        </w:rPr>
        <w:t>% (в основном ее обеспечивают госбанки).</w:t>
      </w:r>
      <w:proofErr w:type="gramEnd"/>
    </w:p>
    <w:p w:rsidR="0084520D" w:rsidRPr="005F1178" w:rsidRDefault="00C14B4D" w:rsidP="0084520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Причин для такого упрощения две. Во-первых, это снижение риск-аппетита банков из-за опасений кризиса ликвидности и снижения Н</w:t>
      </w:r>
      <w:proofErr w:type="gramStart"/>
      <w:r w:rsidRPr="005F1178">
        <w:rPr>
          <w:rFonts w:ascii="Times New Roman" w:hAnsi="Times New Roman"/>
          <w:sz w:val="24"/>
          <w:szCs w:val="24"/>
          <w:lang w:eastAsia="ru-RU"/>
        </w:rPr>
        <w:t>1</w:t>
      </w:r>
      <w:proofErr w:type="gramEnd"/>
      <w:r w:rsidRPr="005F1178">
        <w:rPr>
          <w:rFonts w:ascii="Times New Roman" w:hAnsi="Times New Roman"/>
          <w:sz w:val="24"/>
          <w:szCs w:val="24"/>
          <w:lang w:eastAsia="ru-RU"/>
        </w:rPr>
        <w:t xml:space="preserve"> под давлением регулятора. Во-вторых</w:t>
      </w:r>
      <w:r w:rsidR="00EC0806">
        <w:rPr>
          <w:rFonts w:ascii="Times New Roman" w:hAnsi="Times New Roman"/>
          <w:sz w:val="24"/>
          <w:szCs w:val="24"/>
          <w:lang w:eastAsia="ru-RU"/>
        </w:rPr>
        <w:t>,</w:t>
      </w:r>
      <w:r w:rsidRPr="005F1178">
        <w:rPr>
          <w:rFonts w:ascii="Times New Roman" w:hAnsi="Times New Roman"/>
          <w:sz w:val="24"/>
          <w:szCs w:val="24"/>
          <w:lang w:eastAsia="ru-RU"/>
        </w:rPr>
        <w:t xml:space="preserve"> ожидавшаяся и, собственно, начавшаяся в конце 2012 года стагнация в экономике, озвученная МЭР (предвестником выступило планомерное снижение ж</w:t>
      </w:r>
      <w:r w:rsidR="005F1178" w:rsidRPr="005F1178">
        <w:rPr>
          <w:rFonts w:ascii="Times New Roman" w:hAnsi="Times New Roman"/>
          <w:sz w:val="24"/>
          <w:szCs w:val="24"/>
          <w:lang w:eastAsia="ru-RU"/>
        </w:rPr>
        <w:t>/</w:t>
      </w:r>
      <w:r w:rsidRPr="005F1178">
        <w:rPr>
          <w:rFonts w:ascii="Times New Roman" w:hAnsi="Times New Roman"/>
          <w:sz w:val="24"/>
          <w:szCs w:val="24"/>
          <w:lang w:eastAsia="ru-RU"/>
        </w:rPr>
        <w:t>д-грузоперевозок на 5% каждый месяц, начиная с ноября 2012 года). Таким образом, на рынке предложения «длинных» денег нет, но и спрос на них невелик. В условиях макроэкономической нестабильности субъекты МСБ предпочи</w:t>
      </w:r>
      <w:r w:rsidR="0084520D" w:rsidRPr="005F1178">
        <w:rPr>
          <w:rFonts w:ascii="Times New Roman" w:hAnsi="Times New Roman"/>
          <w:sz w:val="24"/>
          <w:szCs w:val="24"/>
          <w:lang w:eastAsia="ru-RU"/>
        </w:rPr>
        <w:t>тают не начинать новые проекты.</w:t>
      </w:r>
    </w:p>
    <w:p w:rsidR="00C14B4D" w:rsidRPr="005F1178" w:rsidRDefault="00C14B4D" w:rsidP="0084520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Дополнительный фактор, </w:t>
      </w:r>
      <w:r w:rsidR="008D177B" w:rsidRPr="005F1178">
        <w:rPr>
          <w:rFonts w:ascii="Times New Roman" w:hAnsi="Times New Roman"/>
          <w:sz w:val="24"/>
          <w:szCs w:val="24"/>
          <w:lang w:eastAsia="ru-RU"/>
        </w:rPr>
        <w:t>изменивший срочность портфелей МСБ</w:t>
      </w:r>
      <w:r w:rsidR="00E17D8E">
        <w:rPr>
          <w:rFonts w:ascii="Times New Roman" w:hAnsi="Times New Roman"/>
          <w:sz w:val="24"/>
          <w:szCs w:val="24"/>
          <w:lang w:eastAsia="ru-RU"/>
        </w:rPr>
        <w:t>,</w:t>
      </w:r>
      <w:r w:rsidRPr="005F1178">
        <w:rPr>
          <w:rFonts w:ascii="Times New Roman" w:hAnsi="Times New Roman"/>
          <w:sz w:val="24"/>
          <w:szCs w:val="24"/>
          <w:lang w:eastAsia="ru-RU"/>
        </w:rPr>
        <w:t xml:space="preserve"> – запуск «кредитных фабрик» крупными банками. Такие фабрики ориентированы на быстрое принятие решений на основе </w:t>
      </w:r>
      <w:proofErr w:type="spellStart"/>
      <w:r w:rsidRPr="005F1178">
        <w:rPr>
          <w:rFonts w:ascii="Times New Roman" w:hAnsi="Times New Roman"/>
          <w:sz w:val="24"/>
          <w:szCs w:val="24"/>
          <w:lang w:eastAsia="ru-RU"/>
        </w:rPr>
        <w:t>скоринга</w:t>
      </w:r>
      <w:proofErr w:type="spellEnd"/>
      <w:r w:rsidRPr="005F1178">
        <w:rPr>
          <w:rFonts w:ascii="Times New Roman" w:hAnsi="Times New Roman"/>
          <w:sz w:val="24"/>
          <w:szCs w:val="24"/>
          <w:lang w:eastAsia="ru-RU"/>
        </w:rPr>
        <w:t>, при этом кредиты отличаются небольшими размерами и выдаются, как правило, на короткие сроки.</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p>
    <w:p w:rsidR="002B0212" w:rsidRPr="00F4012B" w:rsidRDefault="002B0212" w:rsidP="00C14B4D">
      <w:pPr>
        <w:jc w:val="center"/>
        <w:rPr>
          <w:rFonts w:ascii="Times New Roman" w:hAnsi="Times New Roman" w:cs="Times New Roman"/>
          <w:sz w:val="24"/>
          <w:szCs w:val="24"/>
        </w:rPr>
      </w:pPr>
    </w:p>
    <w:p w:rsidR="002B0212" w:rsidRPr="00F4012B" w:rsidRDefault="002B0212">
      <w:pPr>
        <w:rPr>
          <w:rFonts w:ascii="Times New Roman" w:hAnsi="Times New Roman" w:cs="Times New Roman"/>
          <w:sz w:val="24"/>
          <w:szCs w:val="24"/>
        </w:rPr>
      </w:pPr>
      <w:r w:rsidRPr="00F4012B">
        <w:rPr>
          <w:rFonts w:ascii="Times New Roman" w:hAnsi="Times New Roman" w:cs="Times New Roman"/>
          <w:sz w:val="24"/>
          <w:szCs w:val="24"/>
        </w:rPr>
        <w:br w:type="page"/>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lastRenderedPageBreak/>
        <w:t>График</w:t>
      </w:r>
      <w:r w:rsidR="008A4B70" w:rsidRPr="008A4B70">
        <w:rPr>
          <w:rFonts w:ascii="Times New Roman" w:hAnsi="Times New Roman" w:cs="Times New Roman"/>
          <w:sz w:val="24"/>
          <w:szCs w:val="24"/>
        </w:rPr>
        <w:t xml:space="preserve"> </w:t>
      </w:r>
      <w:r w:rsidR="00923911">
        <w:rPr>
          <w:rFonts w:ascii="Times New Roman" w:hAnsi="Times New Roman" w:cs="Times New Roman"/>
          <w:sz w:val="24"/>
          <w:szCs w:val="24"/>
        </w:rPr>
        <w:t>4</w:t>
      </w:r>
      <w:r w:rsidRPr="005F1178">
        <w:rPr>
          <w:rFonts w:ascii="Times New Roman" w:hAnsi="Times New Roman" w:cs="Times New Roman"/>
          <w:sz w:val="24"/>
          <w:szCs w:val="24"/>
        </w:rPr>
        <w:t xml:space="preserve">. Популярность кредитов торговле растет </w:t>
      </w:r>
    </w:p>
    <w:p w:rsidR="00C14B4D" w:rsidRPr="005F1178" w:rsidRDefault="002B0212" w:rsidP="00C14B4D">
      <w:pPr>
        <w:jc w:val="center"/>
        <w:rPr>
          <w:i/>
        </w:rPr>
      </w:pPr>
      <w:r>
        <w:rPr>
          <w:noProof/>
          <w:lang w:eastAsia="ru-RU"/>
        </w:rPr>
        <w:drawing>
          <wp:inline distT="0" distB="0" distL="0" distR="0" wp14:anchorId="5F98F9A7" wp14:editId="617FBAF1">
            <wp:extent cx="5053014" cy="5048250"/>
            <wp:effectExtent l="0" t="0" r="1460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4B4D" w:rsidRPr="005F1178" w:rsidRDefault="00C14B4D" w:rsidP="00C14B4D">
      <w:pPr>
        <w:jc w:val="right"/>
        <w:rPr>
          <w:i/>
          <w:sz w:val="20"/>
          <w:szCs w:val="20"/>
        </w:rPr>
      </w:pPr>
      <w:r w:rsidRPr="005F1178">
        <w:rPr>
          <w:b/>
          <w:i/>
          <w:sz w:val="20"/>
          <w:szCs w:val="20"/>
        </w:rPr>
        <w:t>Источник:</w:t>
      </w:r>
      <w:r w:rsidRPr="005F1178">
        <w:rPr>
          <w:i/>
          <w:sz w:val="20"/>
          <w:szCs w:val="20"/>
        </w:rPr>
        <w:t xml:space="preserve"> оценка «Эксперта РА» по данным анкет банков</w:t>
      </w:r>
    </w:p>
    <w:p w:rsidR="00C14B4D" w:rsidRPr="005F1178" w:rsidRDefault="00C14B4D" w:rsidP="00C14B4D">
      <w:pPr>
        <w:rPr>
          <w:i/>
          <w:sz w:val="20"/>
          <w:szCs w:val="20"/>
        </w:rPr>
      </w:pPr>
      <w:r w:rsidRPr="005F1178">
        <w:rPr>
          <w:i/>
          <w:sz w:val="20"/>
          <w:szCs w:val="20"/>
        </w:rPr>
        <w:br w:type="page"/>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lastRenderedPageBreak/>
        <w:t>График</w:t>
      </w:r>
      <w:r w:rsidR="00E17D8E">
        <w:rPr>
          <w:rFonts w:ascii="Times New Roman" w:hAnsi="Times New Roman" w:cs="Times New Roman"/>
          <w:sz w:val="24"/>
          <w:szCs w:val="24"/>
        </w:rPr>
        <w:t xml:space="preserve"> </w:t>
      </w:r>
      <w:r w:rsidR="00923911">
        <w:rPr>
          <w:rFonts w:ascii="Times New Roman" w:hAnsi="Times New Roman" w:cs="Times New Roman"/>
          <w:sz w:val="24"/>
          <w:szCs w:val="24"/>
        </w:rPr>
        <w:t>5</w:t>
      </w:r>
      <w:r w:rsidRPr="005F1178">
        <w:rPr>
          <w:rFonts w:ascii="Times New Roman" w:hAnsi="Times New Roman" w:cs="Times New Roman"/>
          <w:sz w:val="24"/>
          <w:szCs w:val="24"/>
        </w:rPr>
        <w:t xml:space="preserve">. Срочность портфелей в 2012 году значительно снизилась </w:t>
      </w:r>
    </w:p>
    <w:p w:rsidR="00C14B4D" w:rsidRPr="005F1178" w:rsidRDefault="002B0212" w:rsidP="00C14B4D">
      <w:pPr>
        <w:rPr>
          <w:i/>
        </w:rPr>
      </w:pPr>
      <w:r>
        <w:rPr>
          <w:noProof/>
          <w:lang w:eastAsia="ru-RU"/>
        </w:rPr>
        <w:drawing>
          <wp:inline distT="0" distB="0" distL="0" distR="0" wp14:anchorId="4356DAAD" wp14:editId="5CB05606">
            <wp:extent cx="4757738" cy="4424363"/>
            <wp:effectExtent l="0" t="0" r="24130" b="1460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14B4D" w:rsidRPr="005F1178" w:rsidRDefault="00C14B4D" w:rsidP="00C14B4D">
      <w:pPr>
        <w:jc w:val="right"/>
        <w:rPr>
          <w:i/>
          <w:sz w:val="20"/>
          <w:szCs w:val="20"/>
        </w:rPr>
      </w:pPr>
      <w:r w:rsidRPr="005F1178">
        <w:rPr>
          <w:b/>
          <w:i/>
          <w:sz w:val="20"/>
          <w:szCs w:val="20"/>
        </w:rPr>
        <w:t>Источник:</w:t>
      </w:r>
      <w:r w:rsidRPr="005F1178">
        <w:rPr>
          <w:i/>
          <w:sz w:val="20"/>
          <w:szCs w:val="20"/>
        </w:rPr>
        <w:t xml:space="preserve"> оценка «Эксперта РА» по данным анкет банков</w:t>
      </w:r>
      <w:r w:rsidR="009E10A2">
        <w:rPr>
          <w:i/>
          <w:sz w:val="20"/>
          <w:szCs w:val="20"/>
        </w:rPr>
        <w:t>, без учета Сбербанка России</w:t>
      </w:r>
    </w:p>
    <w:p w:rsidR="00C14B4D" w:rsidRPr="005F1178" w:rsidRDefault="006609CF"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noProof/>
          <w:sz w:val="24"/>
          <w:szCs w:val="24"/>
          <w:lang w:eastAsia="ru-RU"/>
        </w:rPr>
        <mc:AlternateContent>
          <mc:Choice Requires="wps">
            <w:drawing>
              <wp:anchor distT="0" distB="0" distL="114300" distR="114300" simplePos="0" relativeHeight="251663360" behindDoc="1" locked="0" layoutInCell="1" allowOverlap="1" wp14:anchorId="3D7CF2A8" wp14:editId="7D75E4BA">
                <wp:simplePos x="0" y="0"/>
                <wp:positionH relativeFrom="column">
                  <wp:posOffset>3315970</wp:posOffset>
                </wp:positionH>
                <wp:positionV relativeFrom="paragraph">
                  <wp:posOffset>309245</wp:posOffset>
                </wp:positionV>
                <wp:extent cx="2667000" cy="1306830"/>
                <wp:effectExtent l="0" t="0" r="0" b="7620"/>
                <wp:wrapTight wrapText="bothSides">
                  <wp:wrapPolygon edited="0">
                    <wp:start x="0" y="0"/>
                    <wp:lineTo x="0" y="21411"/>
                    <wp:lineTo x="21446" y="21411"/>
                    <wp:lineTo x="21446" y="0"/>
                    <wp:lineTo x="0" y="0"/>
                  </wp:wrapPolygon>
                </wp:wrapTight>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068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B46" w:rsidRPr="002D31F6" w:rsidRDefault="00925B46" w:rsidP="006609CF">
                            <w:pPr>
                              <w:jc w:val="both"/>
                            </w:pPr>
                            <w:r w:rsidRPr="006609CF">
                              <w:rPr>
                                <w:rFonts w:ascii="Times New Roman" w:hAnsi="Times New Roman" w:cs="Times New Roman"/>
                                <w:b/>
                                <w:sz w:val="24"/>
                                <w:szCs w:val="24"/>
                              </w:rPr>
                              <w:t xml:space="preserve">Лариса </w:t>
                            </w:r>
                            <w:proofErr w:type="spellStart"/>
                            <w:r w:rsidRPr="006609CF">
                              <w:rPr>
                                <w:rFonts w:ascii="Times New Roman" w:hAnsi="Times New Roman" w:cs="Times New Roman"/>
                                <w:b/>
                                <w:sz w:val="24"/>
                                <w:szCs w:val="24"/>
                              </w:rPr>
                              <w:t>Швецова</w:t>
                            </w:r>
                            <w:proofErr w:type="spellEnd"/>
                            <w:r w:rsidRPr="009568F3">
                              <w:rPr>
                                <w:rFonts w:ascii="Times New Roman" w:hAnsi="Times New Roman" w:cs="Times New Roman"/>
                                <w:sz w:val="24"/>
                                <w:szCs w:val="24"/>
                              </w:rPr>
                              <w:t xml:space="preserve"> </w:t>
                            </w:r>
                            <w:r w:rsidRPr="006609CF">
                              <w:rPr>
                                <w:rFonts w:ascii="Arial" w:hAnsi="Arial" w:cs="Arial"/>
                                <w:sz w:val="20"/>
                                <w:szCs w:val="20"/>
                              </w:rPr>
                              <w:t xml:space="preserve">о </w:t>
                            </w:r>
                            <w:proofErr w:type="gramStart"/>
                            <w:r w:rsidRPr="006609CF">
                              <w:rPr>
                                <w:rFonts w:ascii="Arial" w:hAnsi="Arial" w:cs="Arial"/>
                                <w:sz w:val="20"/>
                                <w:szCs w:val="20"/>
                              </w:rPr>
                              <w:t>риск-менеджменте</w:t>
                            </w:r>
                            <w:proofErr w:type="gramEnd"/>
                            <w:r w:rsidRPr="006609CF">
                              <w:rPr>
                                <w:rFonts w:ascii="Arial" w:hAnsi="Arial" w:cs="Arial"/>
                                <w:sz w:val="20"/>
                                <w:szCs w:val="20"/>
                              </w:rPr>
                              <w:t>: «</w:t>
                            </w:r>
                            <w:r>
                              <w:rPr>
                                <w:rFonts w:ascii="Arial" w:hAnsi="Arial" w:cs="Arial"/>
                                <w:sz w:val="20"/>
                                <w:szCs w:val="20"/>
                              </w:rPr>
                              <w:t>Сейчас большинство б</w:t>
                            </w:r>
                            <w:r w:rsidRPr="00462DF0">
                              <w:rPr>
                                <w:rFonts w:ascii="Arial" w:hAnsi="Arial" w:cs="Arial"/>
                                <w:sz w:val="20"/>
                                <w:szCs w:val="20"/>
                              </w:rPr>
                              <w:t>анков уже очень хорошо понимают, как управлять уровнем просрочки</w:t>
                            </w:r>
                            <w:r>
                              <w:rPr>
                                <w:rFonts w:ascii="Arial" w:hAnsi="Arial" w:cs="Arial"/>
                                <w:sz w:val="20"/>
                                <w:szCs w:val="20"/>
                              </w:rPr>
                              <w:t>,</w:t>
                            </w:r>
                            <w:r w:rsidRPr="00462DF0">
                              <w:rPr>
                                <w:rFonts w:ascii="Arial" w:hAnsi="Arial" w:cs="Arial"/>
                                <w:sz w:val="20"/>
                                <w:szCs w:val="20"/>
                              </w:rPr>
                              <w:t xml:space="preserve"> и используют базовые инструменты, которые в том числе предлагает </w:t>
                            </w:r>
                            <w:r>
                              <w:rPr>
                                <w:rFonts w:ascii="Arial" w:hAnsi="Arial" w:cs="Arial"/>
                                <w:sz w:val="20"/>
                                <w:szCs w:val="20"/>
                              </w:rPr>
                              <w:t>и международный опыт</w:t>
                            </w:r>
                            <w:r w:rsidRPr="006609CF">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left:0;text-align:left;margin-left:261.1pt;margin-top:24.35pt;width:210pt;height:10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" fillcolor="silver" stroked="f">
                <v:textbox>
                  <w:txbxContent>
                    <w:p w:rsidR="00925B46" w:rsidRPr="002D31F6" w:rsidRDefault="00925B46" w:rsidP="006609CF">
                      <w:pPr>
                        <w:jc w:val="both"/>
                      </w:pPr>
                      <w:r w:rsidRPr="006609CF">
                        <w:rPr>
                          <w:rFonts w:ascii="Times New Roman" w:hAnsi="Times New Roman" w:cs="Times New Roman"/>
                          <w:b/>
                          <w:sz w:val="24"/>
                          <w:szCs w:val="24"/>
                        </w:rPr>
                        <w:t xml:space="preserve">Лариса </w:t>
                      </w:r>
                      <w:proofErr w:type="spellStart"/>
                      <w:r w:rsidRPr="006609CF">
                        <w:rPr>
                          <w:rFonts w:ascii="Times New Roman" w:hAnsi="Times New Roman" w:cs="Times New Roman"/>
                          <w:b/>
                          <w:sz w:val="24"/>
                          <w:szCs w:val="24"/>
                        </w:rPr>
                        <w:t>Швецова</w:t>
                      </w:r>
                      <w:proofErr w:type="spellEnd"/>
                      <w:r w:rsidRPr="009568F3">
                        <w:rPr>
                          <w:rFonts w:ascii="Times New Roman" w:hAnsi="Times New Roman" w:cs="Times New Roman"/>
                          <w:sz w:val="24"/>
                          <w:szCs w:val="24"/>
                        </w:rPr>
                        <w:t xml:space="preserve"> </w:t>
                      </w:r>
                      <w:r w:rsidRPr="006609CF">
                        <w:rPr>
                          <w:rFonts w:ascii="Arial" w:hAnsi="Arial" w:cs="Arial"/>
                          <w:sz w:val="20"/>
                          <w:szCs w:val="20"/>
                        </w:rPr>
                        <w:t xml:space="preserve">о </w:t>
                      </w:r>
                      <w:proofErr w:type="gramStart"/>
                      <w:r w:rsidRPr="006609CF">
                        <w:rPr>
                          <w:rFonts w:ascii="Arial" w:hAnsi="Arial" w:cs="Arial"/>
                          <w:sz w:val="20"/>
                          <w:szCs w:val="20"/>
                        </w:rPr>
                        <w:t>риск-менеджменте</w:t>
                      </w:r>
                      <w:proofErr w:type="gramEnd"/>
                      <w:r w:rsidRPr="006609CF">
                        <w:rPr>
                          <w:rFonts w:ascii="Arial" w:hAnsi="Arial" w:cs="Arial"/>
                          <w:sz w:val="20"/>
                          <w:szCs w:val="20"/>
                        </w:rPr>
                        <w:t>: «</w:t>
                      </w:r>
                      <w:r>
                        <w:rPr>
                          <w:rFonts w:ascii="Arial" w:hAnsi="Arial" w:cs="Arial"/>
                          <w:sz w:val="20"/>
                          <w:szCs w:val="20"/>
                        </w:rPr>
                        <w:t>Сейчас большинство б</w:t>
                      </w:r>
                      <w:r w:rsidRPr="00462DF0">
                        <w:rPr>
                          <w:rFonts w:ascii="Arial" w:hAnsi="Arial" w:cs="Arial"/>
                          <w:sz w:val="20"/>
                          <w:szCs w:val="20"/>
                        </w:rPr>
                        <w:t>анков уже очень хорошо понимают, как управлять уровнем просрочки</w:t>
                      </w:r>
                      <w:r>
                        <w:rPr>
                          <w:rFonts w:ascii="Arial" w:hAnsi="Arial" w:cs="Arial"/>
                          <w:sz w:val="20"/>
                          <w:szCs w:val="20"/>
                        </w:rPr>
                        <w:t>,</w:t>
                      </w:r>
                      <w:r w:rsidRPr="00462DF0">
                        <w:rPr>
                          <w:rFonts w:ascii="Arial" w:hAnsi="Arial" w:cs="Arial"/>
                          <w:sz w:val="20"/>
                          <w:szCs w:val="20"/>
                        </w:rPr>
                        <w:t xml:space="preserve"> и используют базовые инструменты, которые в том числе предлагает </w:t>
                      </w:r>
                      <w:r>
                        <w:rPr>
                          <w:rFonts w:ascii="Arial" w:hAnsi="Arial" w:cs="Arial"/>
                          <w:sz w:val="20"/>
                          <w:szCs w:val="20"/>
                        </w:rPr>
                        <w:t>и международный опыт</w:t>
                      </w:r>
                      <w:r w:rsidRPr="006609CF">
                        <w:rPr>
                          <w:rFonts w:ascii="Arial" w:hAnsi="Arial" w:cs="Arial"/>
                          <w:sz w:val="20"/>
                          <w:szCs w:val="20"/>
                        </w:rPr>
                        <w:t>»</w:t>
                      </w:r>
                    </w:p>
                  </w:txbxContent>
                </v:textbox>
                <w10:wrap type="tight"/>
              </v:shape>
            </w:pict>
          </mc:Fallback>
        </mc:AlternateContent>
      </w:r>
      <w:r w:rsidR="00C14B4D" w:rsidRPr="005F1178">
        <w:rPr>
          <w:rFonts w:ascii="Times New Roman" w:hAnsi="Times New Roman"/>
          <w:sz w:val="24"/>
          <w:szCs w:val="24"/>
          <w:lang w:eastAsia="ru-RU"/>
        </w:rPr>
        <w:t xml:space="preserve">Доля просроченной задолженности по сегменту МСБ по итогам 2012 года осталась приблизительно на уровне конца 2011 года. В середине 2012 года отмечался рост просрочки, в основном за счет крупных банков, активно использующих кредитные конвейеры, дающие большую проблемную задолженность. Последний квартал, однако, оказался достаточно успешным – доля просроченной задолженности МСБ снизилась как в абсолютном, так и в относительном выражении. Причина – </w:t>
      </w:r>
      <w:r w:rsidR="00F15B04" w:rsidRPr="005F1178">
        <w:rPr>
          <w:rFonts w:ascii="Times New Roman" w:hAnsi="Times New Roman"/>
          <w:sz w:val="24"/>
          <w:szCs w:val="24"/>
          <w:lang w:eastAsia="ru-RU"/>
        </w:rPr>
        <w:t>размещение бюджетных сре</w:t>
      </w:r>
      <w:proofErr w:type="gramStart"/>
      <w:r w:rsidR="00F15B04" w:rsidRPr="005F1178">
        <w:rPr>
          <w:rFonts w:ascii="Times New Roman" w:hAnsi="Times New Roman"/>
          <w:sz w:val="24"/>
          <w:szCs w:val="24"/>
          <w:lang w:eastAsia="ru-RU"/>
        </w:rPr>
        <w:t>дств в к</w:t>
      </w:r>
      <w:proofErr w:type="gramEnd"/>
      <w:r w:rsidR="00F15B04" w:rsidRPr="005F1178">
        <w:rPr>
          <w:rFonts w:ascii="Times New Roman" w:hAnsi="Times New Roman"/>
          <w:sz w:val="24"/>
          <w:szCs w:val="24"/>
          <w:lang w:eastAsia="ru-RU"/>
        </w:rPr>
        <w:t>онце года, которое позволило многим компаниям расплатиться по долгам.</w:t>
      </w:r>
    </w:p>
    <w:p w:rsidR="00C14B4D" w:rsidRPr="005F1178" w:rsidRDefault="00C14B4D" w:rsidP="00C14B4D">
      <w:pPr>
        <w:rPr>
          <w:rFonts w:ascii="Times New Roman" w:hAnsi="Times New Roman"/>
          <w:sz w:val="24"/>
          <w:szCs w:val="24"/>
          <w:lang w:eastAsia="ru-RU"/>
        </w:rPr>
      </w:pPr>
      <w:r w:rsidRPr="005F1178">
        <w:rPr>
          <w:rFonts w:ascii="Times New Roman" w:hAnsi="Times New Roman"/>
          <w:sz w:val="24"/>
          <w:szCs w:val="24"/>
          <w:lang w:eastAsia="ru-RU"/>
        </w:rPr>
        <w:br w:type="page"/>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lastRenderedPageBreak/>
        <w:t>График</w:t>
      </w:r>
      <w:r w:rsidR="008A4B70" w:rsidRPr="003631A5">
        <w:rPr>
          <w:rFonts w:ascii="Times New Roman" w:hAnsi="Times New Roman" w:cs="Times New Roman"/>
          <w:sz w:val="24"/>
          <w:szCs w:val="24"/>
        </w:rPr>
        <w:t xml:space="preserve"> </w:t>
      </w:r>
      <w:r w:rsidR="00923911">
        <w:rPr>
          <w:rFonts w:ascii="Times New Roman" w:hAnsi="Times New Roman" w:cs="Times New Roman"/>
          <w:sz w:val="24"/>
          <w:szCs w:val="24"/>
        </w:rPr>
        <w:t>6</w:t>
      </w:r>
      <w:r w:rsidRPr="005F1178">
        <w:rPr>
          <w:rFonts w:ascii="Times New Roman" w:hAnsi="Times New Roman" w:cs="Times New Roman"/>
          <w:sz w:val="24"/>
          <w:szCs w:val="24"/>
        </w:rPr>
        <w:t xml:space="preserve">. Просроченная задолженность МСБ снизилась в конце 2012 года </w:t>
      </w:r>
    </w:p>
    <w:p w:rsidR="00C14B4D" w:rsidRPr="005F1178" w:rsidRDefault="00C14B4D" w:rsidP="00C14B4D">
      <w:pPr>
        <w:tabs>
          <w:tab w:val="num" w:pos="0"/>
        </w:tabs>
        <w:jc w:val="right"/>
        <w:rPr>
          <w:i/>
          <w:sz w:val="20"/>
          <w:szCs w:val="20"/>
        </w:rPr>
      </w:pPr>
      <w:r w:rsidRPr="005F1178">
        <w:rPr>
          <w:noProof/>
          <w:lang w:eastAsia="ru-RU"/>
        </w:rPr>
        <w:drawing>
          <wp:inline distT="0" distB="0" distL="0" distR="0" wp14:anchorId="6E76F48B" wp14:editId="6490704E">
            <wp:extent cx="5940425" cy="3722192"/>
            <wp:effectExtent l="0" t="0" r="317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F1178">
        <w:t xml:space="preserve"> </w:t>
      </w:r>
      <w:r w:rsidRPr="005F1178">
        <w:tab/>
      </w:r>
      <w:r w:rsidRPr="005F1178">
        <w:rPr>
          <w:b/>
          <w:i/>
          <w:sz w:val="20"/>
          <w:szCs w:val="20"/>
        </w:rPr>
        <w:t>Источник:</w:t>
      </w:r>
      <w:r w:rsidRPr="005F1178">
        <w:rPr>
          <w:i/>
          <w:sz w:val="20"/>
          <w:szCs w:val="20"/>
        </w:rPr>
        <w:t xml:space="preserve"> оценка «Эксперта РА» по данным Банка России</w:t>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t>График</w:t>
      </w:r>
      <w:r w:rsidR="008A4B70" w:rsidRPr="003631A5">
        <w:rPr>
          <w:rFonts w:ascii="Times New Roman" w:hAnsi="Times New Roman" w:cs="Times New Roman"/>
          <w:sz w:val="24"/>
          <w:szCs w:val="24"/>
        </w:rPr>
        <w:t xml:space="preserve"> </w:t>
      </w:r>
      <w:r w:rsidR="00923911">
        <w:rPr>
          <w:rFonts w:ascii="Times New Roman" w:hAnsi="Times New Roman" w:cs="Times New Roman"/>
          <w:sz w:val="24"/>
          <w:szCs w:val="24"/>
        </w:rPr>
        <w:t>7</w:t>
      </w:r>
      <w:r w:rsidRPr="005F1178">
        <w:rPr>
          <w:rFonts w:ascii="Times New Roman" w:hAnsi="Times New Roman" w:cs="Times New Roman"/>
          <w:sz w:val="24"/>
          <w:szCs w:val="24"/>
        </w:rPr>
        <w:t>. Доля проблемных кредитов снизилась и у крупных</w:t>
      </w:r>
      <w:r w:rsidR="00261A12">
        <w:rPr>
          <w:rFonts w:ascii="Times New Roman" w:hAnsi="Times New Roman" w:cs="Times New Roman"/>
          <w:sz w:val="24"/>
          <w:szCs w:val="24"/>
        </w:rPr>
        <w:t>,</w:t>
      </w:r>
      <w:r w:rsidRPr="005F1178">
        <w:rPr>
          <w:rFonts w:ascii="Times New Roman" w:hAnsi="Times New Roman" w:cs="Times New Roman"/>
          <w:sz w:val="24"/>
          <w:szCs w:val="24"/>
        </w:rPr>
        <w:t xml:space="preserve"> и у небольших банков</w:t>
      </w:r>
    </w:p>
    <w:p w:rsidR="00C14B4D" w:rsidRPr="005F1178" w:rsidRDefault="00C14B4D" w:rsidP="00143F8B">
      <w:pPr>
        <w:tabs>
          <w:tab w:val="num" w:pos="0"/>
        </w:tabs>
        <w:jc w:val="right"/>
      </w:pPr>
      <w:r w:rsidRPr="005F1178">
        <w:rPr>
          <w:noProof/>
          <w:lang w:eastAsia="ru-RU"/>
        </w:rPr>
        <w:drawing>
          <wp:inline distT="0" distB="0" distL="0" distR="0" wp14:anchorId="5863D890" wp14:editId="0977FCA2">
            <wp:extent cx="5940425" cy="2999948"/>
            <wp:effectExtent l="0" t="0" r="317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F1178">
        <w:tab/>
      </w:r>
      <w:r w:rsidRPr="005F1178">
        <w:rPr>
          <w:b/>
          <w:i/>
          <w:sz w:val="20"/>
          <w:szCs w:val="20"/>
        </w:rPr>
        <w:t>Источник:</w:t>
      </w:r>
      <w:r w:rsidRPr="005F1178">
        <w:rPr>
          <w:i/>
          <w:sz w:val="20"/>
          <w:szCs w:val="20"/>
        </w:rPr>
        <w:t xml:space="preserve"> оценка «Эксперта РА» по данным Банка России</w:t>
      </w:r>
    </w:p>
    <w:p w:rsidR="00143F8B" w:rsidRPr="005F1178" w:rsidRDefault="00143F8B" w:rsidP="00143F8B">
      <w:pPr>
        <w:pStyle w:val="1"/>
      </w:pPr>
      <w:bookmarkStart w:id="7" w:name="_Toc352162049"/>
      <w:r w:rsidRPr="005F1178">
        <w:t>Смежные сегменты: лизинг и факторинг для МСБ</w:t>
      </w:r>
      <w:bookmarkEnd w:id="7"/>
    </w:p>
    <w:p w:rsidR="00C14B4D" w:rsidRPr="005F1178" w:rsidRDefault="00C14B4D" w:rsidP="00C14B4D">
      <w:pPr>
        <w:pStyle w:val="2"/>
      </w:pPr>
      <w:bookmarkStart w:id="8" w:name="_Toc352162050"/>
      <w:r w:rsidRPr="005F1178">
        <w:t>Факторинг: МСБ отстает</w:t>
      </w:r>
      <w:bookmarkEnd w:id="8"/>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В структуре сделок по размеру бизнеса клиентов впервые с 2009 года наблюдается снижение доли не только малого, но и среднего бизнеса (см. график </w:t>
      </w:r>
      <w:r w:rsidR="00923911" w:rsidRPr="00F4012B">
        <w:rPr>
          <w:rFonts w:ascii="Times New Roman" w:hAnsi="Times New Roman"/>
          <w:sz w:val="24"/>
          <w:szCs w:val="24"/>
          <w:lang w:eastAsia="ru-RU"/>
        </w:rPr>
        <w:t>8</w:t>
      </w:r>
      <w:r w:rsidRPr="005F1178">
        <w:rPr>
          <w:rFonts w:ascii="Times New Roman" w:hAnsi="Times New Roman"/>
          <w:sz w:val="24"/>
          <w:szCs w:val="24"/>
          <w:lang w:eastAsia="ru-RU"/>
        </w:rPr>
        <w:t>). В 2012 году доля крупного бизнеса выросла почти на 4 п.</w:t>
      </w:r>
      <w:r w:rsidR="00261A12">
        <w:rPr>
          <w:rFonts w:ascii="Times New Roman" w:hAnsi="Times New Roman"/>
          <w:sz w:val="24"/>
          <w:szCs w:val="24"/>
          <w:lang w:eastAsia="ru-RU"/>
        </w:rPr>
        <w:t xml:space="preserve"> </w:t>
      </w:r>
      <w:r w:rsidRPr="005F1178">
        <w:rPr>
          <w:rFonts w:ascii="Times New Roman" w:hAnsi="Times New Roman"/>
          <w:sz w:val="24"/>
          <w:szCs w:val="24"/>
          <w:lang w:eastAsia="ru-RU"/>
        </w:rPr>
        <w:t xml:space="preserve">п. Рост рынка факторинга за счет крупного </w:t>
      </w:r>
      <w:r w:rsidRPr="005F1178">
        <w:rPr>
          <w:rFonts w:ascii="Times New Roman" w:hAnsi="Times New Roman"/>
          <w:sz w:val="24"/>
          <w:szCs w:val="24"/>
          <w:lang w:eastAsia="ru-RU"/>
        </w:rPr>
        <w:lastRenderedPageBreak/>
        <w:t xml:space="preserve">бизнеса связан с тенденцией перехода некоторых крупных клиентов с банковских кредитов на факторинг. Фактически данный рост обеспечил, прежде всего, ВТБ Факторинг (занимает более 30% рынка факторинга в сегменте крупного бизнеса). </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p>
    <w:p w:rsidR="00C14B4D" w:rsidRPr="005F1178" w:rsidRDefault="008A4B70" w:rsidP="00C14B4D">
      <w:pPr>
        <w:jc w:val="center"/>
        <w:rPr>
          <w:rFonts w:ascii="Times New Roman" w:hAnsi="Times New Roman" w:cs="Times New Roman"/>
          <w:sz w:val="24"/>
          <w:szCs w:val="24"/>
        </w:rPr>
      </w:pPr>
      <w:bookmarkStart w:id="9" w:name="_Ref305599328"/>
      <w:r>
        <w:rPr>
          <w:rFonts w:ascii="Times New Roman" w:hAnsi="Times New Roman" w:cs="Times New Roman"/>
          <w:sz w:val="24"/>
          <w:szCs w:val="24"/>
        </w:rPr>
        <w:t xml:space="preserve">График </w:t>
      </w:r>
      <w:r w:rsidR="00923911">
        <w:rPr>
          <w:rFonts w:ascii="Times New Roman" w:hAnsi="Times New Roman" w:cs="Times New Roman"/>
          <w:sz w:val="24"/>
          <w:szCs w:val="24"/>
        </w:rPr>
        <w:t>8</w:t>
      </w:r>
      <w:r w:rsidR="00C14B4D" w:rsidRPr="005F1178">
        <w:rPr>
          <w:rFonts w:ascii="Times New Roman" w:hAnsi="Times New Roman" w:cs="Times New Roman"/>
          <w:sz w:val="24"/>
          <w:szCs w:val="24"/>
        </w:rPr>
        <w:t>. Доля малого бизнеса в структуре сделок по размеру бизнеса клиентов в 2012 году снизилась</w:t>
      </w:r>
    </w:p>
    <w:bookmarkEnd w:id="9"/>
    <w:p w:rsidR="00C14B4D" w:rsidRPr="005F1178" w:rsidRDefault="00C14B4D" w:rsidP="00C14B4D">
      <w:pPr>
        <w:spacing w:line="240" w:lineRule="auto"/>
        <w:jc w:val="right"/>
        <w:rPr>
          <w:i/>
        </w:rPr>
      </w:pPr>
      <w:r w:rsidRPr="005F1178">
        <w:rPr>
          <w:noProof/>
          <w:lang w:eastAsia="ru-RU"/>
        </w:rPr>
        <w:drawing>
          <wp:inline distT="0" distB="0" distL="0" distR="0" wp14:anchorId="69AABC89" wp14:editId="560FB64D">
            <wp:extent cx="5940425" cy="3074748"/>
            <wp:effectExtent l="0" t="0" r="22225" b="114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F1178">
        <w:rPr>
          <w:b/>
          <w:i/>
        </w:rPr>
        <w:t>Источник:</w:t>
      </w:r>
      <w:r w:rsidRPr="005F1178">
        <w:rPr>
          <w:i/>
        </w:rPr>
        <w:t xml:space="preserve"> «Эксперт РА» по данным анкет Факторов</w:t>
      </w:r>
    </w:p>
    <w:p w:rsidR="00C14B4D" w:rsidRPr="005F1178" w:rsidRDefault="008A4B70" w:rsidP="00C14B4D">
      <w:pPr>
        <w:jc w:val="center"/>
        <w:rPr>
          <w:rFonts w:ascii="Times New Roman" w:hAnsi="Times New Roman" w:cs="Times New Roman"/>
          <w:sz w:val="24"/>
          <w:szCs w:val="24"/>
        </w:rPr>
      </w:pPr>
      <w:r>
        <w:rPr>
          <w:rFonts w:ascii="Times New Roman" w:hAnsi="Times New Roman" w:cs="Times New Roman"/>
          <w:sz w:val="24"/>
          <w:szCs w:val="24"/>
        </w:rPr>
        <w:t xml:space="preserve">График </w:t>
      </w:r>
      <w:r w:rsidR="00923911">
        <w:rPr>
          <w:rFonts w:ascii="Times New Roman" w:hAnsi="Times New Roman" w:cs="Times New Roman"/>
          <w:sz w:val="24"/>
          <w:szCs w:val="24"/>
        </w:rPr>
        <w:t>9</w:t>
      </w:r>
      <w:r w:rsidR="00C14B4D" w:rsidRPr="005F1178">
        <w:rPr>
          <w:rFonts w:ascii="Times New Roman" w:hAnsi="Times New Roman" w:cs="Times New Roman"/>
          <w:sz w:val="24"/>
          <w:szCs w:val="24"/>
        </w:rPr>
        <w:t>. С 2007 по 2012 год наблюдается тенденция снижения доли МСБ в структуре сделок по объему бизнеса клиентов</w:t>
      </w:r>
    </w:p>
    <w:p w:rsidR="00C14B4D" w:rsidRPr="005F1178" w:rsidRDefault="00F143A7" w:rsidP="00C14B4D">
      <w:pPr>
        <w:spacing w:line="240" w:lineRule="auto"/>
        <w:jc w:val="center"/>
      </w:pPr>
      <w:r w:rsidRPr="005F1178">
        <w:rPr>
          <w:noProof/>
          <w:lang w:eastAsia="ru-RU"/>
        </w:rPr>
        <w:drawing>
          <wp:inline distT="0" distB="0" distL="0" distR="0" wp14:anchorId="11B993F5" wp14:editId="176DCAE4">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14B4D" w:rsidRPr="005F1178" w:rsidRDefault="00C14B4D" w:rsidP="00C14B4D">
      <w:pPr>
        <w:pStyle w:val="af0"/>
        <w:keepNext/>
        <w:spacing w:line="240" w:lineRule="auto"/>
        <w:jc w:val="right"/>
        <w:rPr>
          <w:i/>
        </w:rPr>
      </w:pPr>
      <w:r w:rsidRPr="005F1178">
        <w:rPr>
          <w:i/>
        </w:rPr>
        <w:t>Источник: «Эксперт РА» по данным анкет Факторов</w:t>
      </w:r>
    </w:p>
    <w:p w:rsidR="00C14B4D" w:rsidRPr="005F1178" w:rsidRDefault="00C14B4D" w:rsidP="00C14B4D">
      <w:pPr>
        <w:rPr>
          <w:i/>
          <w:sz w:val="20"/>
          <w:szCs w:val="20"/>
        </w:rPr>
      </w:pPr>
      <w:r w:rsidRPr="005F1178">
        <w:br w:type="page"/>
      </w:r>
    </w:p>
    <w:p w:rsidR="00C14B4D" w:rsidRPr="005F1178" w:rsidRDefault="00C14B4D" w:rsidP="00C14B4D">
      <w:pPr>
        <w:spacing w:line="240" w:lineRule="auto"/>
      </w:pP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Лидерство в сегменте факторинга МСБ по объему денежных требований, фактически уступленных Фактору, по итогам 2012 сохраняет за собой ОАО «Альфа-Банк». </w:t>
      </w:r>
    </w:p>
    <w:p w:rsidR="00C14B4D" w:rsidRPr="005F1178" w:rsidRDefault="008A4B70" w:rsidP="00C14B4D">
      <w:pPr>
        <w:pStyle w:val="af0"/>
        <w:keepNext/>
        <w:spacing w:line="240" w:lineRule="auto"/>
      </w:pPr>
      <w:r>
        <w:t xml:space="preserve">Таблица </w:t>
      </w:r>
      <w:r w:rsidRPr="003631A5">
        <w:t>2</w:t>
      </w:r>
      <w:r w:rsidR="00C14B4D" w:rsidRPr="005F1178">
        <w:t xml:space="preserve">. </w:t>
      </w:r>
      <w:proofErr w:type="spellStart"/>
      <w:r w:rsidR="00C14B4D" w:rsidRPr="005F1178">
        <w:t>Рэнкинг</w:t>
      </w:r>
      <w:proofErr w:type="spellEnd"/>
      <w:r w:rsidR="00C14B4D" w:rsidRPr="005F1178">
        <w:t xml:space="preserve"> Факторов по объему денежных требований, фактически уступленных Факторам клиентами сегмента МСБ за 2012 год</w:t>
      </w:r>
    </w:p>
    <w:tbl>
      <w:tblPr>
        <w:tblW w:w="11368" w:type="dxa"/>
        <w:tblInd w:w="93" w:type="dxa"/>
        <w:tblLayout w:type="fixed"/>
        <w:tblLook w:val="04A0" w:firstRow="1" w:lastRow="0" w:firstColumn="1" w:lastColumn="0" w:noHBand="0" w:noVBand="1"/>
      </w:tblPr>
      <w:tblGrid>
        <w:gridCol w:w="1008"/>
        <w:gridCol w:w="937"/>
        <w:gridCol w:w="2287"/>
        <w:gridCol w:w="1312"/>
        <w:gridCol w:w="2448"/>
        <w:gridCol w:w="938"/>
        <w:gridCol w:w="1337"/>
        <w:gridCol w:w="1101"/>
      </w:tblGrid>
      <w:tr w:rsidR="00925B46" w:rsidRPr="00925B46" w:rsidTr="0080651F">
        <w:trPr>
          <w:trHeight w:val="1410"/>
        </w:trPr>
        <w:tc>
          <w:tcPr>
            <w:tcW w:w="1008" w:type="dxa"/>
            <w:vMerge w:val="restart"/>
            <w:tcBorders>
              <w:top w:val="nil"/>
              <w:left w:val="nil"/>
              <w:bottom w:val="nil"/>
              <w:right w:val="single" w:sz="8" w:space="0" w:color="auto"/>
            </w:tcBorders>
            <w:shd w:val="clear" w:color="auto" w:fill="auto"/>
            <w:noWrap/>
            <w:vAlign w:val="bottom"/>
            <w:hideMark/>
          </w:tcPr>
          <w:p w:rsidR="00925B46" w:rsidRPr="00925B46" w:rsidRDefault="00925B46" w:rsidP="00925B46">
            <w:pPr>
              <w:spacing w:after="0" w:line="240" w:lineRule="auto"/>
              <w:rPr>
                <w:rFonts w:ascii="Calibri" w:eastAsia="Times New Roman" w:hAnsi="Calibri" w:cs="Calibri"/>
                <w:color w:val="000000"/>
                <w:lang w:eastAsia="ru-RU"/>
              </w:rPr>
            </w:pPr>
            <w:r w:rsidRPr="00925B46">
              <w:rPr>
                <w:rFonts w:ascii="Calibri" w:eastAsia="Times New Roman" w:hAnsi="Calibri" w:cs="Calibri"/>
                <w:color w:val="000000"/>
                <w:lang w:eastAsia="ru-RU"/>
              </w:rPr>
              <w:t xml:space="preserve">Место Фактора в 2012  году </w:t>
            </w:r>
          </w:p>
        </w:tc>
        <w:tc>
          <w:tcPr>
            <w:tcW w:w="9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Место Фактора в 2011 году</w:t>
            </w:r>
          </w:p>
        </w:tc>
        <w:tc>
          <w:tcPr>
            <w:tcW w:w="228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xml:space="preserve">Наименование </w:t>
            </w:r>
          </w:p>
        </w:tc>
        <w:tc>
          <w:tcPr>
            <w:tcW w:w="13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Объем денежных требований, фактически уступленных Факторам клиентами сегмента МСБ, млн. рублей.</w:t>
            </w:r>
          </w:p>
        </w:tc>
        <w:tc>
          <w:tcPr>
            <w:tcW w:w="3386"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Объем денежных требований, фактически уступленных Фактору следующими группами компаний, млн. рублей</w:t>
            </w:r>
          </w:p>
        </w:tc>
        <w:tc>
          <w:tcPr>
            <w:tcW w:w="1337" w:type="dxa"/>
            <w:vMerge w:val="restart"/>
            <w:tcBorders>
              <w:top w:val="single" w:sz="8" w:space="0" w:color="auto"/>
              <w:left w:val="nil"/>
              <w:bottom w:val="single" w:sz="8" w:space="0" w:color="000000"/>
              <w:right w:val="single" w:sz="8" w:space="0" w:color="auto"/>
            </w:tcBorders>
            <w:shd w:val="clear" w:color="000000" w:fill="FFFFFF"/>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Доля сегмента МСБ в объемах уступленных Фактору денежных требований за 2011 год, %</w:t>
            </w:r>
          </w:p>
        </w:tc>
        <w:tc>
          <w:tcPr>
            <w:tcW w:w="11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Рейтинги кредитоспособности от «Эксперта РА»</w:t>
            </w:r>
          </w:p>
        </w:tc>
      </w:tr>
      <w:tr w:rsidR="00925B46" w:rsidRPr="00925B46" w:rsidTr="0080651F">
        <w:trPr>
          <w:trHeight w:val="300"/>
        </w:trPr>
        <w:tc>
          <w:tcPr>
            <w:tcW w:w="1008" w:type="dxa"/>
            <w:vMerge/>
            <w:tcBorders>
              <w:top w:val="nil"/>
              <w:left w:val="nil"/>
              <w:bottom w:val="nil"/>
              <w:right w:val="single" w:sz="8" w:space="0" w:color="auto"/>
            </w:tcBorders>
            <w:vAlign w:val="center"/>
            <w:hideMark/>
          </w:tcPr>
          <w:p w:rsidR="00925B46" w:rsidRPr="00925B46" w:rsidRDefault="00925B46" w:rsidP="00925B46">
            <w:pPr>
              <w:spacing w:after="0" w:line="240" w:lineRule="auto"/>
              <w:rPr>
                <w:rFonts w:ascii="Calibri" w:eastAsia="Times New Roman" w:hAnsi="Calibri" w:cs="Calibri"/>
                <w:color w:val="000000"/>
                <w:lang w:eastAsia="ru-RU"/>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2287"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312"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3386" w:type="dxa"/>
            <w:gridSpan w:val="2"/>
            <w:vMerge/>
            <w:tcBorders>
              <w:top w:val="single" w:sz="8" w:space="0" w:color="auto"/>
              <w:left w:val="single" w:sz="8" w:space="0" w:color="auto"/>
              <w:bottom w:val="single" w:sz="8" w:space="0" w:color="000000"/>
              <w:right w:val="single" w:sz="8" w:space="0" w:color="000000"/>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337" w:type="dxa"/>
            <w:vMerge/>
            <w:tcBorders>
              <w:top w:val="single" w:sz="8" w:space="0" w:color="auto"/>
              <w:left w:val="nil"/>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r>
      <w:tr w:rsidR="00925B46" w:rsidRPr="00925B46" w:rsidTr="0080651F">
        <w:trPr>
          <w:trHeight w:val="315"/>
        </w:trPr>
        <w:tc>
          <w:tcPr>
            <w:tcW w:w="1008" w:type="dxa"/>
            <w:vMerge/>
            <w:tcBorders>
              <w:top w:val="nil"/>
              <w:left w:val="nil"/>
              <w:bottom w:val="nil"/>
              <w:right w:val="single" w:sz="8" w:space="0" w:color="auto"/>
            </w:tcBorders>
            <w:vAlign w:val="center"/>
            <w:hideMark/>
          </w:tcPr>
          <w:p w:rsidR="00925B46" w:rsidRPr="00925B46" w:rsidRDefault="00925B46" w:rsidP="00925B46">
            <w:pPr>
              <w:spacing w:after="0" w:line="240" w:lineRule="auto"/>
              <w:rPr>
                <w:rFonts w:ascii="Calibri" w:eastAsia="Times New Roman" w:hAnsi="Calibri" w:cs="Calibri"/>
                <w:color w:val="000000"/>
                <w:lang w:eastAsia="ru-RU"/>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2287"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312"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3386" w:type="dxa"/>
            <w:gridSpan w:val="2"/>
            <w:vMerge/>
            <w:tcBorders>
              <w:top w:val="single" w:sz="8" w:space="0" w:color="auto"/>
              <w:left w:val="single" w:sz="8" w:space="0" w:color="auto"/>
              <w:bottom w:val="single" w:sz="8" w:space="0" w:color="000000"/>
              <w:right w:val="single" w:sz="8" w:space="0" w:color="000000"/>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337" w:type="dxa"/>
            <w:vMerge/>
            <w:tcBorders>
              <w:top w:val="single" w:sz="8" w:space="0" w:color="auto"/>
              <w:left w:val="nil"/>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r>
      <w:tr w:rsidR="00925B46" w:rsidRPr="00925B46" w:rsidTr="0080651F">
        <w:trPr>
          <w:trHeight w:val="780"/>
        </w:trPr>
        <w:tc>
          <w:tcPr>
            <w:tcW w:w="1008" w:type="dxa"/>
            <w:vMerge/>
            <w:tcBorders>
              <w:top w:val="nil"/>
              <w:left w:val="nil"/>
              <w:bottom w:val="nil"/>
              <w:right w:val="single" w:sz="8" w:space="0" w:color="auto"/>
            </w:tcBorders>
            <w:vAlign w:val="center"/>
            <w:hideMark/>
          </w:tcPr>
          <w:p w:rsidR="00925B46" w:rsidRPr="00925B46" w:rsidRDefault="00925B46" w:rsidP="00925B46">
            <w:pPr>
              <w:spacing w:after="0" w:line="240" w:lineRule="auto"/>
              <w:rPr>
                <w:rFonts w:ascii="Calibri" w:eastAsia="Times New Roman" w:hAnsi="Calibri" w:cs="Calibri"/>
                <w:color w:val="000000"/>
                <w:lang w:eastAsia="ru-RU"/>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2287"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312"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2448"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клиенты – малый бизнес</w:t>
            </w:r>
          </w:p>
        </w:tc>
        <w:tc>
          <w:tcPr>
            <w:tcW w:w="938"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клиенты – средний бизнес</w:t>
            </w:r>
          </w:p>
        </w:tc>
        <w:tc>
          <w:tcPr>
            <w:tcW w:w="1337" w:type="dxa"/>
            <w:vMerge/>
            <w:tcBorders>
              <w:top w:val="single" w:sz="8" w:space="0" w:color="auto"/>
              <w:left w:val="nil"/>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ОАО «АЛЬФА-БАНК»</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137 724</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51 718</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86 006</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84,2</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ОАО «Промсвязьбанк»</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84 241</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30 392</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53 849</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32,1</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ГК НФК</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57 550</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22 312</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35 238</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74,4</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ВТБ Факторинг</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54 366</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22 151</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32 215</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16</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«ФК «</w:t>
            </w:r>
            <w:proofErr w:type="spellStart"/>
            <w:r w:rsidRPr="00925B46">
              <w:rPr>
                <w:rFonts w:ascii="Times New Roman" w:eastAsia="Times New Roman" w:hAnsi="Times New Roman" w:cs="Times New Roman"/>
                <w:color w:val="000000"/>
                <w:sz w:val="20"/>
                <w:szCs w:val="20"/>
                <w:lang w:eastAsia="ru-RU"/>
              </w:rPr>
              <w:t>Лайф</w:t>
            </w:r>
            <w:proofErr w:type="spellEnd"/>
            <w:r w:rsidRPr="00925B46">
              <w:rPr>
                <w:rFonts w:ascii="Times New Roman" w:eastAsia="Times New Roman" w:hAnsi="Times New Roman" w:cs="Times New Roman"/>
                <w:color w:val="000000"/>
                <w:sz w:val="20"/>
                <w:szCs w:val="20"/>
                <w:lang w:eastAsia="ru-RU"/>
              </w:rPr>
              <w:t xml:space="preserve">» </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27 954</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22 819</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5 135</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52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w:t>
            </w:r>
          </w:p>
        </w:tc>
        <w:tc>
          <w:tcPr>
            <w:tcW w:w="2287"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ОАО АКБ «</w:t>
            </w:r>
            <w:proofErr w:type="spellStart"/>
            <w:r w:rsidRPr="00925B46">
              <w:rPr>
                <w:rFonts w:ascii="Times New Roman" w:eastAsia="Times New Roman" w:hAnsi="Times New Roman" w:cs="Times New Roman"/>
                <w:color w:val="000000"/>
                <w:sz w:val="20"/>
                <w:szCs w:val="20"/>
                <w:lang w:eastAsia="ru-RU"/>
              </w:rPr>
              <w:t>Металлинвестбанк</w:t>
            </w:r>
            <w:proofErr w:type="spellEnd"/>
            <w:r w:rsidRPr="00925B46">
              <w:rPr>
                <w:rFonts w:ascii="Times New Roman" w:eastAsia="Times New Roman" w:hAnsi="Times New Roman" w:cs="Times New Roman"/>
                <w:color w:val="000000"/>
                <w:sz w:val="20"/>
                <w:szCs w:val="20"/>
                <w:lang w:eastAsia="ru-RU"/>
              </w:rPr>
              <w:t>»</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26 057</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11 488</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14 569</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72,7</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xml:space="preserve">ЗАО </w:t>
            </w:r>
            <w:proofErr w:type="spellStart"/>
            <w:r w:rsidRPr="00925B46">
              <w:rPr>
                <w:rFonts w:ascii="Times New Roman" w:eastAsia="Times New Roman" w:hAnsi="Times New Roman" w:cs="Times New Roman"/>
                <w:color w:val="000000"/>
                <w:sz w:val="20"/>
                <w:szCs w:val="20"/>
                <w:lang w:eastAsia="ru-RU"/>
              </w:rPr>
              <w:t>ЮниКредит</w:t>
            </w:r>
            <w:proofErr w:type="spellEnd"/>
            <w:r w:rsidRPr="00925B46">
              <w:rPr>
                <w:rFonts w:ascii="Times New Roman" w:eastAsia="Times New Roman" w:hAnsi="Times New Roman" w:cs="Times New Roman"/>
                <w:color w:val="000000"/>
                <w:sz w:val="20"/>
                <w:szCs w:val="20"/>
                <w:lang w:eastAsia="ru-RU"/>
              </w:rPr>
              <w:t xml:space="preserve"> Банк</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22 331</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1 364</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20 967</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53,7</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xml:space="preserve">ФК Санкт-Петербург </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8 313</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3 533</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4 780</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9</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11</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РФК</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6 247</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3 913</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2 334</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72,7</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9</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ОАО Банк «Петрокоммерц»</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5 598</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1 109</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4 489</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6,3</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xml:space="preserve">А+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11</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ЗАО «ФК «КЛЕВЕР»</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3 122</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2 086</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1 037</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42,2</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12</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13</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w:t>
            </w:r>
            <w:proofErr w:type="spellStart"/>
            <w:r w:rsidRPr="00925B46">
              <w:rPr>
                <w:rFonts w:ascii="Times New Roman" w:eastAsia="Times New Roman" w:hAnsi="Times New Roman" w:cs="Times New Roman"/>
                <w:color w:val="000000"/>
                <w:sz w:val="20"/>
                <w:szCs w:val="20"/>
                <w:lang w:eastAsia="ru-RU"/>
              </w:rPr>
              <w:t>ФакторРус</w:t>
            </w:r>
            <w:proofErr w:type="spellEnd"/>
            <w:r w:rsidRPr="00925B46">
              <w:rPr>
                <w:rFonts w:ascii="Times New Roman" w:eastAsia="Times New Roman" w:hAnsi="Times New Roman" w:cs="Times New Roman"/>
                <w:color w:val="000000"/>
                <w:sz w:val="20"/>
                <w:szCs w:val="20"/>
                <w:lang w:eastAsia="ru-RU"/>
              </w:rPr>
              <w:t>»</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2 872</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2 399</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473</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53,3</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13</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16</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«Эконом-факторинг»</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1 160</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1 160</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0</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14</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18</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КБ «СДМ-БАНК» (ОАО)</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1 010</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361</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649</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53,3</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15</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20</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«СИБСОЦБАНК» ООО</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753</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147</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606</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А</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16</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22</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ФК «КОЛЬЦО УРАЛА»</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681</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403</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278</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63,4</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17</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«Центр-Лизинг»</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376</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8</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369</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18</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14</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ЗАО АКБ «</w:t>
            </w:r>
            <w:proofErr w:type="spellStart"/>
            <w:r w:rsidRPr="00925B46">
              <w:rPr>
                <w:rFonts w:ascii="Times New Roman" w:eastAsia="Times New Roman" w:hAnsi="Times New Roman" w:cs="Times New Roman"/>
                <w:color w:val="000000"/>
                <w:sz w:val="20"/>
                <w:szCs w:val="20"/>
                <w:lang w:eastAsia="ru-RU"/>
              </w:rPr>
              <w:t>ЦентроКредит</w:t>
            </w:r>
            <w:proofErr w:type="spellEnd"/>
            <w:r w:rsidRPr="00925B46">
              <w:rPr>
                <w:rFonts w:ascii="Times New Roman" w:eastAsia="Times New Roman" w:hAnsi="Times New Roman" w:cs="Times New Roman"/>
                <w:color w:val="000000"/>
                <w:sz w:val="20"/>
                <w:szCs w:val="20"/>
                <w:lang w:eastAsia="ru-RU"/>
              </w:rPr>
              <w:t>»</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326</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326</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0</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32,8</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19</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25</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ООО «ПОЛИТЕКС»</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201</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107</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94</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3</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А</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20</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xml:space="preserve">ЗАО «ОФК»                          </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195</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126</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70</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21</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ЗАО «УРАЛПРИВАТБАНК»</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117</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117</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0</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r w:rsidR="00925B46" w:rsidRPr="00925B46" w:rsidTr="0080651F">
        <w:trPr>
          <w:trHeight w:val="31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925B46" w:rsidRPr="00925B46" w:rsidRDefault="00925B46" w:rsidP="00925B46">
            <w:pPr>
              <w:spacing w:after="0" w:line="240" w:lineRule="auto"/>
              <w:jc w:val="both"/>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22</w:t>
            </w:r>
          </w:p>
        </w:tc>
        <w:tc>
          <w:tcPr>
            <w:tcW w:w="937" w:type="dxa"/>
            <w:tcBorders>
              <w:top w:val="nil"/>
              <w:left w:val="nil"/>
              <w:bottom w:val="single" w:sz="8" w:space="0" w:color="auto"/>
              <w:right w:val="single" w:sz="8" w:space="0" w:color="auto"/>
            </w:tcBorders>
            <w:shd w:val="clear" w:color="auto" w:fill="auto"/>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23</w:t>
            </w:r>
          </w:p>
        </w:tc>
        <w:tc>
          <w:tcPr>
            <w:tcW w:w="228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АКБ «</w:t>
            </w:r>
            <w:proofErr w:type="spellStart"/>
            <w:r w:rsidRPr="00925B46">
              <w:rPr>
                <w:rFonts w:ascii="Times New Roman" w:eastAsia="Times New Roman" w:hAnsi="Times New Roman" w:cs="Times New Roman"/>
                <w:color w:val="000000"/>
                <w:sz w:val="20"/>
                <w:szCs w:val="20"/>
                <w:lang w:eastAsia="ru-RU"/>
              </w:rPr>
              <w:t>Ижкомбанк</w:t>
            </w:r>
            <w:proofErr w:type="spellEnd"/>
            <w:r w:rsidRPr="00925B46">
              <w:rPr>
                <w:rFonts w:ascii="Times New Roman" w:eastAsia="Times New Roman" w:hAnsi="Times New Roman" w:cs="Times New Roman"/>
                <w:color w:val="000000"/>
                <w:sz w:val="20"/>
                <w:szCs w:val="20"/>
                <w:lang w:eastAsia="ru-RU"/>
              </w:rPr>
              <w:t>» (ОАО)</w:t>
            </w:r>
          </w:p>
        </w:tc>
        <w:tc>
          <w:tcPr>
            <w:tcW w:w="1312"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75</w:t>
            </w:r>
          </w:p>
        </w:tc>
        <w:tc>
          <w:tcPr>
            <w:tcW w:w="244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75</w:t>
            </w:r>
          </w:p>
        </w:tc>
        <w:tc>
          <w:tcPr>
            <w:tcW w:w="938"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0</w:t>
            </w:r>
          </w:p>
        </w:tc>
        <w:tc>
          <w:tcPr>
            <w:tcW w:w="1337" w:type="dxa"/>
            <w:tcBorders>
              <w:top w:val="nil"/>
              <w:left w:val="nil"/>
              <w:bottom w:val="single" w:sz="8" w:space="0" w:color="auto"/>
              <w:right w:val="single" w:sz="8" w:space="0" w:color="auto"/>
            </w:tcBorders>
            <w:shd w:val="clear" w:color="000000" w:fill="FFFFFF"/>
            <w:noWrap/>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100</w:t>
            </w:r>
          </w:p>
        </w:tc>
        <w:tc>
          <w:tcPr>
            <w:tcW w:w="1101" w:type="dxa"/>
            <w:tcBorders>
              <w:top w:val="nil"/>
              <w:left w:val="nil"/>
              <w:bottom w:val="single" w:sz="8" w:space="0" w:color="auto"/>
              <w:right w:val="single" w:sz="8" w:space="0" w:color="auto"/>
            </w:tcBorders>
            <w:shd w:val="clear" w:color="000000" w:fill="FFFFFF"/>
            <w:vAlign w:val="center"/>
            <w:hideMark/>
          </w:tcPr>
          <w:p w:rsidR="00925B46" w:rsidRPr="00925B46" w:rsidRDefault="00925B46" w:rsidP="00925B46">
            <w:pPr>
              <w:spacing w:after="0" w:line="240" w:lineRule="auto"/>
              <w:jc w:val="right"/>
              <w:rPr>
                <w:rFonts w:ascii="Times New Roman" w:eastAsia="Times New Roman" w:hAnsi="Times New Roman" w:cs="Times New Roman"/>
                <w:color w:val="000000"/>
                <w:sz w:val="20"/>
                <w:szCs w:val="20"/>
                <w:lang w:eastAsia="ru-RU"/>
              </w:rPr>
            </w:pPr>
            <w:r w:rsidRPr="00925B46">
              <w:rPr>
                <w:rFonts w:ascii="Times New Roman" w:eastAsia="Times New Roman" w:hAnsi="Times New Roman" w:cs="Times New Roman"/>
                <w:color w:val="000000"/>
                <w:sz w:val="20"/>
                <w:szCs w:val="20"/>
                <w:lang w:eastAsia="ru-RU"/>
              </w:rPr>
              <w:t>- </w:t>
            </w:r>
          </w:p>
        </w:tc>
      </w:tr>
    </w:tbl>
    <w:p w:rsidR="00C14B4D" w:rsidRPr="005F1178" w:rsidRDefault="00C14B4D" w:rsidP="00C14B4D">
      <w:pPr>
        <w:rPr>
          <w:lang w:eastAsia="ru-RU"/>
        </w:rPr>
      </w:pPr>
    </w:p>
    <w:p w:rsidR="00C14B4D" w:rsidRPr="005F1178" w:rsidRDefault="00C14B4D" w:rsidP="00C14B4D">
      <w:pPr>
        <w:pStyle w:val="af0"/>
        <w:keepNext/>
        <w:spacing w:line="240" w:lineRule="auto"/>
        <w:jc w:val="right"/>
        <w:rPr>
          <w:i/>
        </w:rPr>
      </w:pPr>
      <w:r w:rsidRPr="005F1178">
        <w:rPr>
          <w:i/>
        </w:rPr>
        <w:t>Источник: «Эксперт РА» по данным анкет Факторов</w:t>
      </w:r>
    </w:p>
    <w:p w:rsidR="00C14B4D" w:rsidRPr="005F1178" w:rsidRDefault="00C14B4D" w:rsidP="00C14B4D"/>
    <w:p w:rsidR="00C14B4D" w:rsidRPr="005F1178" w:rsidRDefault="00C14B4D" w:rsidP="00C14B4D">
      <w:pPr>
        <w:pStyle w:val="2"/>
      </w:pPr>
      <w:bookmarkStart w:id="10" w:name="_Toc352162051"/>
      <w:r w:rsidRPr="005F1178">
        <w:lastRenderedPageBreak/>
        <w:t xml:space="preserve">Лизинг для МСБ: </w:t>
      </w:r>
      <w:r w:rsidR="008D177B" w:rsidRPr="005F1178">
        <w:t>лидер по темпам роста</w:t>
      </w:r>
      <w:bookmarkEnd w:id="10"/>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Рынок лизинга в целом продемонстрировал слабые темпы роста в 2012</w:t>
      </w:r>
      <w:r w:rsidR="00B329BC">
        <w:rPr>
          <w:rFonts w:ascii="Times New Roman" w:hAnsi="Times New Roman"/>
          <w:sz w:val="24"/>
          <w:szCs w:val="24"/>
          <w:lang w:eastAsia="ru-RU"/>
        </w:rPr>
        <w:t xml:space="preserve"> </w:t>
      </w:r>
      <w:r w:rsidRPr="005F1178">
        <w:rPr>
          <w:rFonts w:ascii="Times New Roman" w:hAnsi="Times New Roman"/>
          <w:sz w:val="24"/>
          <w:szCs w:val="24"/>
          <w:lang w:eastAsia="ru-RU"/>
        </w:rPr>
        <w:t>г</w:t>
      </w:r>
      <w:r w:rsidR="00B329BC">
        <w:rPr>
          <w:rFonts w:ascii="Times New Roman" w:hAnsi="Times New Roman"/>
          <w:sz w:val="24"/>
          <w:szCs w:val="24"/>
          <w:lang w:eastAsia="ru-RU"/>
        </w:rPr>
        <w:t>оду</w:t>
      </w:r>
      <w:r w:rsidRPr="005F1178">
        <w:rPr>
          <w:rFonts w:ascii="Times New Roman" w:hAnsi="Times New Roman"/>
          <w:sz w:val="24"/>
          <w:szCs w:val="24"/>
          <w:lang w:eastAsia="ru-RU"/>
        </w:rPr>
        <w:t xml:space="preserve"> (прирост новых сделок составил всего 1,5% в сравнении с 2011</w:t>
      </w:r>
      <w:r w:rsidR="00896321">
        <w:rPr>
          <w:rFonts w:ascii="Times New Roman" w:hAnsi="Times New Roman"/>
          <w:sz w:val="24"/>
          <w:szCs w:val="24"/>
          <w:lang w:eastAsia="ru-RU"/>
        </w:rPr>
        <w:t xml:space="preserve"> </w:t>
      </w:r>
      <w:r w:rsidRPr="005F1178">
        <w:rPr>
          <w:rFonts w:ascii="Times New Roman" w:hAnsi="Times New Roman"/>
          <w:sz w:val="24"/>
          <w:szCs w:val="24"/>
          <w:lang w:eastAsia="ru-RU"/>
        </w:rPr>
        <w:t>г</w:t>
      </w:r>
      <w:r w:rsidR="00896321">
        <w:rPr>
          <w:rFonts w:ascii="Times New Roman" w:hAnsi="Times New Roman"/>
          <w:sz w:val="24"/>
          <w:szCs w:val="24"/>
          <w:lang w:eastAsia="ru-RU"/>
        </w:rPr>
        <w:t>одом</w:t>
      </w:r>
      <w:r w:rsidRPr="005F1178">
        <w:rPr>
          <w:rFonts w:ascii="Times New Roman" w:hAnsi="Times New Roman"/>
          <w:sz w:val="24"/>
          <w:szCs w:val="24"/>
          <w:lang w:eastAsia="ru-RU"/>
        </w:rPr>
        <w:t xml:space="preserve">). Одной из главных причин замедления рынка стало сокращение сделок в сегменте железнодорожной техники </w:t>
      </w:r>
      <w:r w:rsidR="00896321">
        <w:rPr>
          <w:rFonts w:ascii="Times New Roman" w:hAnsi="Times New Roman"/>
          <w:sz w:val="24"/>
          <w:szCs w:val="24"/>
          <w:lang w:eastAsia="ru-RU"/>
        </w:rPr>
        <w:t>–</w:t>
      </w:r>
      <w:r w:rsidRPr="005F1178">
        <w:rPr>
          <w:rFonts w:ascii="Times New Roman" w:hAnsi="Times New Roman"/>
          <w:sz w:val="24"/>
          <w:szCs w:val="24"/>
          <w:lang w:eastAsia="ru-RU"/>
        </w:rPr>
        <w:t xml:space="preserve"> главного драйвера рынка. В тоже время это позитивно отразилось на росте диверсификации лизингового рынка по клиентам и сегментам. Лизинговые компании в стремлении поддержать свой бизнес больше внимания уделили малым и средним клиентам. Так</w:t>
      </w:r>
      <w:r w:rsidR="00896321">
        <w:rPr>
          <w:rFonts w:ascii="Times New Roman" w:hAnsi="Times New Roman"/>
          <w:sz w:val="24"/>
          <w:szCs w:val="24"/>
          <w:lang w:eastAsia="ru-RU"/>
        </w:rPr>
        <w:t>,</w:t>
      </w:r>
      <w:r w:rsidRPr="005F1178">
        <w:rPr>
          <w:rFonts w:ascii="Times New Roman" w:hAnsi="Times New Roman"/>
          <w:sz w:val="24"/>
          <w:szCs w:val="24"/>
          <w:lang w:eastAsia="ru-RU"/>
        </w:rPr>
        <w:t xml:space="preserve"> в сравнении с 2011</w:t>
      </w:r>
      <w:r w:rsidR="00896321">
        <w:rPr>
          <w:rFonts w:ascii="Times New Roman" w:hAnsi="Times New Roman"/>
          <w:sz w:val="24"/>
          <w:szCs w:val="24"/>
          <w:lang w:eastAsia="ru-RU"/>
        </w:rPr>
        <w:t xml:space="preserve"> </w:t>
      </w:r>
      <w:r w:rsidRPr="005F1178">
        <w:rPr>
          <w:rFonts w:ascii="Times New Roman" w:hAnsi="Times New Roman"/>
          <w:sz w:val="24"/>
          <w:szCs w:val="24"/>
          <w:lang w:eastAsia="ru-RU"/>
        </w:rPr>
        <w:t>г</w:t>
      </w:r>
      <w:r w:rsidR="00896321">
        <w:rPr>
          <w:rFonts w:ascii="Times New Roman" w:hAnsi="Times New Roman"/>
          <w:sz w:val="24"/>
          <w:szCs w:val="24"/>
          <w:lang w:eastAsia="ru-RU"/>
        </w:rPr>
        <w:t>одом</w:t>
      </w:r>
      <w:r w:rsidRPr="005F1178">
        <w:rPr>
          <w:rFonts w:ascii="Times New Roman" w:hAnsi="Times New Roman"/>
          <w:sz w:val="24"/>
          <w:szCs w:val="24"/>
          <w:lang w:eastAsia="ru-RU"/>
        </w:rPr>
        <w:t xml:space="preserve"> доли малого и среднего бизнеса выросли на 6 и 0,3% соответственно (см.</w:t>
      </w:r>
      <w:r w:rsidR="00896321">
        <w:rPr>
          <w:rFonts w:ascii="Times New Roman" w:hAnsi="Times New Roman"/>
          <w:sz w:val="24"/>
          <w:szCs w:val="24"/>
          <w:lang w:eastAsia="ru-RU"/>
        </w:rPr>
        <w:t xml:space="preserve"> </w:t>
      </w:r>
      <w:r w:rsidRPr="005F1178">
        <w:rPr>
          <w:rFonts w:ascii="Times New Roman" w:hAnsi="Times New Roman"/>
          <w:sz w:val="24"/>
          <w:szCs w:val="24"/>
          <w:lang w:eastAsia="ru-RU"/>
        </w:rPr>
        <w:t xml:space="preserve">график). Сегментами-лидерами в сделках с МСБ стали грузовой транспорт (28,4% от сделок лизинга с МСБ), железнодорожная техника (24,5%) и легковые автомобили (20,4%). </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Предоставляя услуги субъектам малого и среднего бизнеса</w:t>
      </w:r>
      <w:r w:rsidR="00896321">
        <w:rPr>
          <w:rFonts w:ascii="Times New Roman" w:hAnsi="Times New Roman"/>
          <w:sz w:val="24"/>
          <w:szCs w:val="24"/>
          <w:lang w:eastAsia="ru-RU"/>
        </w:rPr>
        <w:t>,</w:t>
      </w:r>
      <w:r w:rsidRPr="005F1178">
        <w:rPr>
          <w:rFonts w:ascii="Times New Roman" w:hAnsi="Times New Roman"/>
          <w:sz w:val="24"/>
          <w:szCs w:val="24"/>
          <w:lang w:eastAsia="ru-RU"/>
        </w:rPr>
        <w:t xml:space="preserve"> лизинговые компании повышают уровень диверсификации своего портфеля. Спрос на лизинговые услуги со стороны представителей МСБ не сократился, а из-за ужесточения банковского зако</w:t>
      </w:r>
      <w:r w:rsidR="00E32B15" w:rsidRPr="005F1178">
        <w:rPr>
          <w:rFonts w:ascii="Times New Roman" w:hAnsi="Times New Roman"/>
          <w:sz w:val="24"/>
          <w:szCs w:val="24"/>
          <w:lang w:eastAsia="ru-RU"/>
        </w:rPr>
        <w:t>нодательства</w:t>
      </w:r>
      <w:r w:rsidR="00896321">
        <w:rPr>
          <w:rFonts w:ascii="Times New Roman" w:hAnsi="Times New Roman"/>
          <w:sz w:val="24"/>
          <w:szCs w:val="24"/>
          <w:lang w:eastAsia="ru-RU"/>
        </w:rPr>
        <w:t>,</w:t>
      </w:r>
      <w:r w:rsidR="00E32B15" w:rsidRPr="005F1178">
        <w:rPr>
          <w:rFonts w:ascii="Times New Roman" w:hAnsi="Times New Roman"/>
          <w:sz w:val="24"/>
          <w:szCs w:val="24"/>
          <w:lang w:eastAsia="ru-RU"/>
        </w:rPr>
        <w:t xml:space="preserve"> наоборот</w:t>
      </w:r>
      <w:r w:rsidR="00896321">
        <w:rPr>
          <w:rFonts w:ascii="Times New Roman" w:hAnsi="Times New Roman"/>
          <w:sz w:val="24"/>
          <w:szCs w:val="24"/>
          <w:lang w:eastAsia="ru-RU"/>
        </w:rPr>
        <w:t>,</w:t>
      </w:r>
      <w:r w:rsidR="00E32B15" w:rsidRPr="005F1178">
        <w:rPr>
          <w:rFonts w:ascii="Times New Roman" w:hAnsi="Times New Roman"/>
          <w:sz w:val="24"/>
          <w:szCs w:val="24"/>
          <w:lang w:eastAsia="ru-RU"/>
        </w:rPr>
        <w:t xml:space="preserve"> усилился. П</w:t>
      </w:r>
      <w:r w:rsidRPr="005F1178">
        <w:rPr>
          <w:rFonts w:ascii="Times New Roman" w:hAnsi="Times New Roman"/>
          <w:sz w:val="24"/>
          <w:szCs w:val="24"/>
          <w:lang w:eastAsia="ru-RU"/>
        </w:rPr>
        <w:t>о итогам 2012</w:t>
      </w:r>
      <w:r w:rsidR="00896321">
        <w:rPr>
          <w:rFonts w:ascii="Times New Roman" w:hAnsi="Times New Roman"/>
          <w:sz w:val="24"/>
          <w:szCs w:val="24"/>
          <w:lang w:eastAsia="ru-RU"/>
        </w:rPr>
        <w:t xml:space="preserve"> </w:t>
      </w:r>
      <w:r w:rsidRPr="005F1178">
        <w:rPr>
          <w:rFonts w:ascii="Times New Roman" w:hAnsi="Times New Roman"/>
          <w:sz w:val="24"/>
          <w:szCs w:val="24"/>
          <w:lang w:eastAsia="ru-RU"/>
        </w:rPr>
        <w:t>г</w:t>
      </w:r>
      <w:r w:rsidR="00896321">
        <w:rPr>
          <w:rFonts w:ascii="Times New Roman" w:hAnsi="Times New Roman"/>
          <w:sz w:val="24"/>
          <w:szCs w:val="24"/>
          <w:lang w:eastAsia="ru-RU"/>
        </w:rPr>
        <w:t>ода</w:t>
      </w:r>
      <w:r w:rsidRPr="005F1178">
        <w:rPr>
          <w:rFonts w:ascii="Times New Roman" w:hAnsi="Times New Roman"/>
          <w:sz w:val="24"/>
          <w:szCs w:val="24"/>
          <w:lang w:eastAsia="ru-RU"/>
        </w:rPr>
        <w:t xml:space="preserve"> объем новых сделок с малым бизнесом составил 283 </w:t>
      </w:r>
      <w:proofErr w:type="gramStart"/>
      <w:r w:rsidRPr="005F1178">
        <w:rPr>
          <w:rFonts w:ascii="Times New Roman" w:hAnsi="Times New Roman"/>
          <w:sz w:val="24"/>
          <w:szCs w:val="24"/>
          <w:lang w:eastAsia="ru-RU"/>
        </w:rPr>
        <w:t>млрд</w:t>
      </w:r>
      <w:proofErr w:type="gramEnd"/>
      <w:r w:rsidRPr="005F1178">
        <w:rPr>
          <w:rFonts w:ascii="Times New Roman" w:hAnsi="Times New Roman"/>
          <w:sz w:val="24"/>
          <w:szCs w:val="24"/>
          <w:lang w:eastAsia="ru-RU"/>
        </w:rPr>
        <w:t xml:space="preserve"> руб</w:t>
      </w:r>
      <w:r w:rsidR="00896321">
        <w:rPr>
          <w:rFonts w:ascii="Times New Roman" w:hAnsi="Times New Roman"/>
          <w:sz w:val="24"/>
          <w:szCs w:val="24"/>
          <w:lang w:eastAsia="ru-RU"/>
        </w:rPr>
        <w:t>лей</w:t>
      </w:r>
      <w:r w:rsidRPr="005F1178">
        <w:rPr>
          <w:rFonts w:ascii="Times New Roman" w:hAnsi="Times New Roman"/>
          <w:sz w:val="24"/>
          <w:szCs w:val="24"/>
          <w:lang w:eastAsia="ru-RU"/>
        </w:rPr>
        <w:t xml:space="preserve"> (+41% за год), со средним бизнесом </w:t>
      </w:r>
      <w:r w:rsidR="00896321">
        <w:rPr>
          <w:rFonts w:ascii="Times New Roman" w:hAnsi="Times New Roman"/>
          <w:sz w:val="24"/>
          <w:szCs w:val="24"/>
          <w:lang w:eastAsia="ru-RU"/>
        </w:rPr>
        <w:t xml:space="preserve">– </w:t>
      </w:r>
      <w:r w:rsidRPr="005F1178">
        <w:rPr>
          <w:rFonts w:ascii="Times New Roman" w:hAnsi="Times New Roman"/>
          <w:sz w:val="24"/>
          <w:szCs w:val="24"/>
          <w:lang w:eastAsia="ru-RU"/>
        </w:rPr>
        <w:t>175 млрд руб</w:t>
      </w:r>
      <w:r w:rsidR="00896321">
        <w:rPr>
          <w:rFonts w:ascii="Times New Roman" w:hAnsi="Times New Roman"/>
          <w:sz w:val="24"/>
          <w:szCs w:val="24"/>
          <w:lang w:eastAsia="ru-RU"/>
        </w:rPr>
        <w:t>лей</w:t>
      </w:r>
      <w:r w:rsidRPr="005F1178">
        <w:rPr>
          <w:rFonts w:ascii="Times New Roman" w:hAnsi="Times New Roman"/>
          <w:sz w:val="24"/>
          <w:szCs w:val="24"/>
          <w:lang w:eastAsia="ru-RU"/>
        </w:rPr>
        <w:t xml:space="preserve"> против 169 млрд руб</w:t>
      </w:r>
      <w:r w:rsidR="00896321">
        <w:rPr>
          <w:rFonts w:ascii="Times New Roman" w:hAnsi="Times New Roman"/>
          <w:sz w:val="24"/>
          <w:szCs w:val="24"/>
          <w:lang w:eastAsia="ru-RU"/>
        </w:rPr>
        <w:t>лей</w:t>
      </w:r>
      <w:r w:rsidRPr="005F1178">
        <w:rPr>
          <w:rFonts w:ascii="Times New Roman" w:hAnsi="Times New Roman"/>
          <w:sz w:val="24"/>
          <w:szCs w:val="24"/>
          <w:lang w:eastAsia="ru-RU"/>
        </w:rPr>
        <w:t xml:space="preserve"> годом ранее (+3,5%).</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p>
    <w:p w:rsidR="00C14B4D" w:rsidRPr="005F1178" w:rsidRDefault="008A4B70" w:rsidP="00C14B4D">
      <w:pPr>
        <w:jc w:val="center"/>
        <w:rPr>
          <w:rFonts w:ascii="Times New Roman" w:hAnsi="Times New Roman" w:cs="Times New Roman"/>
          <w:sz w:val="24"/>
          <w:szCs w:val="24"/>
        </w:rPr>
      </w:pPr>
      <w:r>
        <w:rPr>
          <w:rFonts w:ascii="Times New Roman" w:hAnsi="Times New Roman" w:cs="Times New Roman"/>
          <w:sz w:val="24"/>
          <w:szCs w:val="24"/>
        </w:rPr>
        <w:t xml:space="preserve">График </w:t>
      </w:r>
      <w:r w:rsidR="00923911">
        <w:rPr>
          <w:rFonts w:ascii="Times New Roman" w:hAnsi="Times New Roman" w:cs="Times New Roman"/>
          <w:sz w:val="24"/>
          <w:szCs w:val="24"/>
        </w:rPr>
        <w:t>10</w:t>
      </w:r>
      <w:r w:rsidR="00C14B4D" w:rsidRPr="005F1178">
        <w:rPr>
          <w:rFonts w:ascii="Times New Roman" w:hAnsi="Times New Roman" w:cs="Times New Roman"/>
          <w:sz w:val="24"/>
          <w:szCs w:val="24"/>
        </w:rPr>
        <w:t>. Структура сделок по субъектам бизнеса</w:t>
      </w:r>
    </w:p>
    <w:p w:rsidR="00C14B4D" w:rsidRPr="005F1178" w:rsidRDefault="00C14B4D" w:rsidP="00C14B4D">
      <w:pPr>
        <w:jc w:val="right"/>
      </w:pPr>
      <w:r w:rsidRPr="005F1178">
        <w:rPr>
          <w:noProof/>
          <w:lang w:eastAsia="ru-RU"/>
        </w:rPr>
        <w:drawing>
          <wp:inline distT="0" distB="0" distL="0" distR="0" wp14:anchorId="26542D84" wp14:editId="0662F58D">
            <wp:extent cx="5883910" cy="3673475"/>
            <wp:effectExtent l="0" t="0" r="2540" b="3175"/>
            <wp:docPr id="11" name="Рисунок 11" descr="cid:image001.png@01CE21CB.8C88D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CE21CB.8C88DB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883910" cy="3673475"/>
                    </a:xfrm>
                    <a:prstGeom prst="rect">
                      <a:avLst/>
                    </a:prstGeom>
                    <a:noFill/>
                    <a:ln>
                      <a:noFill/>
                    </a:ln>
                  </pic:spPr>
                </pic:pic>
              </a:graphicData>
            </a:graphic>
          </wp:inline>
        </w:drawing>
      </w:r>
      <w:r w:rsidRPr="005F1178">
        <w:t>Источник: «Эксперт РА» по данным анкет ЛК</w:t>
      </w:r>
    </w:p>
    <w:p w:rsidR="00C14B4D" w:rsidRPr="00925B46" w:rsidRDefault="008A4B70" w:rsidP="00C14B4D">
      <w:pPr>
        <w:pStyle w:val="af0"/>
        <w:keepNext/>
        <w:spacing w:line="240" w:lineRule="auto"/>
        <w:jc w:val="center"/>
        <w:rPr>
          <w:color w:val="000000"/>
        </w:rPr>
      </w:pPr>
      <w:r>
        <w:t xml:space="preserve">Таблица </w:t>
      </w:r>
      <w:r w:rsidRPr="003631A5">
        <w:t>3</w:t>
      </w:r>
      <w:r w:rsidR="00C14B4D" w:rsidRPr="005F1178">
        <w:t xml:space="preserve">. </w:t>
      </w:r>
      <w:proofErr w:type="spellStart"/>
      <w:r w:rsidR="00BB3B93">
        <w:rPr>
          <w:color w:val="000000"/>
        </w:rPr>
        <w:t>Р</w:t>
      </w:r>
      <w:r w:rsidR="00896321">
        <w:rPr>
          <w:color w:val="000000"/>
        </w:rPr>
        <w:t>э</w:t>
      </w:r>
      <w:r w:rsidR="00BB3B93">
        <w:rPr>
          <w:color w:val="000000"/>
        </w:rPr>
        <w:t>нкинг</w:t>
      </w:r>
      <w:proofErr w:type="spellEnd"/>
      <w:r w:rsidR="00C14B4D" w:rsidRPr="005F1178">
        <w:rPr>
          <w:color w:val="000000"/>
        </w:rPr>
        <w:t xml:space="preserve"> лизинговых компаний по сделкам  с </w:t>
      </w:r>
      <w:r w:rsidR="00F01FA8" w:rsidRPr="005F1178">
        <w:rPr>
          <w:color w:val="000000"/>
        </w:rPr>
        <w:t>МСБ</w:t>
      </w:r>
      <w:r w:rsidR="00925B46" w:rsidRPr="0080651F">
        <w:rPr>
          <w:color w:val="000000"/>
        </w:rPr>
        <w:t xml:space="preserve"> </w:t>
      </w:r>
      <w:r w:rsidR="00925B46">
        <w:rPr>
          <w:color w:val="000000"/>
        </w:rPr>
        <w:t>в 2012 году</w:t>
      </w:r>
    </w:p>
    <w:tbl>
      <w:tblPr>
        <w:tblW w:w="10915" w:type="dxa"/>
        <w:tblInd w:w="-1026" w:type="dxa"/>
        <w:tblLayout w:type="fixed"/>
        <w:tblLook w:val="04A0" w:firstRow="1" w:lastRow="0" w:firstColumn="1" w:lastColumn="0" w:noHBand="0" w:noVBand="1"/>
      </w:tblPr>
      <w:tblGrid>
        <w:gridCol w:w="1418"/>
        <w:gridCol w:w="1134"/>
        <w:gridCol w:w="2977"/>
        <w:gridCol w:w="1276"/>
        <w:gridCol w:w="1559"/>
        <w:gridCol w:w="1134"/>
        <w:gridCol w:w="1417"/>
      </w:tblGrid>
      <w:tr w:rsidR="00A8373C" w:rsidRPr="00FE2699" w:rsidTr="00BB3B93">
        <w:trPr>
          <w:trHeight w:val="885"/>
        </w:trPr>
        <w:tc>
          <w:tcPr>
            <w:tcW w:w="1418" w:type="dxa"/>
            <w:vMerge w:val="restart"/>
            <w:tcBorders>
              <w:top w:val="single" w:sz="8" w:space="0" w:color="auto"/>
              <w:left w:val="single" w:sz="8" w:space="0" w:color="auto"/>
              <w:bottom w:val="nil"/>
              <w:right w:val="single" w:sz="8" w:space="0" w:color="auto"/>
            </w:tcBorders>
            <w:shd w:val="clear" w:color="000000" w:fill="C5D9F1"/>
            <w:vAlign w:val="center"/>
            <w:hideMark/>
          </w:tcPr>
          <w:p w:rsidR="00A8373C" w:rsidRPr="00FE2699" w:rsidRDefault="00A8373C" w:rsidP="00BB3B93">
            <w:pPr>
              <w:spacing w:after="0" w:line="240" w:lineRule="auto"/>
              <w:jc w:val="center"/>
              <w:rPr>
                <w:rFonts w:ascii="Times New Roman" w:eastAsia="Times New Roman" w:hAnsi="Times New Roman" w:cs="Times New Roman"/>
                <w:bCs/>
                <w:color w:val="000000"/>
                <w:sz w:val="20"/>
                <w:szCs w:val="20"/>
                <w:lang w:eastAsia="ru-RU"/>
              </w:rPr>
            </w:pPr>
            <w:r w:rsidRPr="00FE2699">
              <w:rPr>
                <w:rFonts w:ascii="Times New Roman" w:eastAsia="Times New Roman" w:hAnsi="Times New Roman" w:cs="Times New Roman"/>
                <w:bCs/>
                <w:color w:val="000000"/>
                <w:sz w:val="20"/>
                <w:szCs w:val="20"/>
                <w:lang w:eastAsia="ru-RU"/>
              </w:rPr>
              <w:t>Место по итогам 2012 года</w:t>
            </w:r>
          </w:p>
        </w:tc>
        <w:tc>
          <w:tcPr>
            <w:tcW w:w="1134" w:type="dxa"/>
            <w:vMerge w:val="restart"/>
            <w:tcBorders>
              <w:top w:val="single" w:sz="8" w:space="0" w:color="auto"/>
              <w:left w:val="single" w:sz="8" w:space="0" w:color="auto"/>
              <w:bottom w:val="nil"/>
              <w:right w:val="single" w:sz="8" w:space="0" w:color="auto"/>
            </w:tcBorders>
            <w:shd w:val="clear" w:color="000000" w:fill="C5D9F1"/>
            <w:vAlign w:val="center"/>
            <w:hideMark/>
          </w:tcPr>
          <w:p w:rsidR="00A8373C" w:rsidRPr="00FE2699" w:rsidRDefault="00896321" w:rsidP="00BB3B9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w:t>
            </w:r>
            <w:r w:rsidR="00A8373C" w:rsidRPr="00FE2699">
              <w:rPr>
                <w:rFonts w:ascii="Times New Roman" w:eastAsia="Times New Roman" w:hAnsi="Times New Roman" w:cs="Times New Roman"/>
                <w:bCs/>
                <w:color w:val="000000"/>
                <w:sz w:val="20"/>
                <w:szCs w:val="20"/>
                <w:lang w:eastAsia="ru-RU"/>
              </w:rPr>
              <w:t xml:space="preserve">есто в </w:t>
            </w:r>
            <w:proofErr w:type="spellStart"/>
            <w:r w:rsidR="00A8373C" w:rsidRPr="00FE2699">
              <w:rPr>
                <w:rFonts w:ascii="Times New Roman" w:eastAsia="Times New Roman" w:hAnsi="Times New Roman" w:cs="Times New Roman"/>
                <w:bCs/>
                <w:color w:val="000000"/>
                <w:sz w:val="20"/>
                <w:szCs w:val="20"/>
                <w:lang w:eastAsia="ru-RU"/>
              </w:rPr>
              <w:t>рэнкинге</w:t>
            </w:r>
            <w:proofErr w:type="spellEnd"/>
            <w:r w:rsidR="00A8373C" w:rsidRPr="00FE2699">
              <w:rPr>
                <w:rFonts w:ascii="Times New Roman" w:eastAsia="Times New Roman" w:hAnsi="Times New Roman" w:cs="Times New Roman"/>
                <w:bCs/>
                <w:color w:val="000000"/>
                <w:sz w:val="20"/>
                <w:szCs w:val="20"/>
                <w:lang w:eastAsia="ru-RU"/>
              </w:rPr>
              <w:t xml:space="preserve"> по итогам 2011 года</w:t>
            </w:r>
          </w:p>
        </w:tc>
        <w:tc>
          <w:tcPr>
            <w:tcW w:w="2977" w:type="dxa"/>
            <w:vMerge w:val="restart"/>
            <w:tcBorders>
              <w:top w:val="single" w:sz="8" w:space="0" w:color="auto"/>
              <w:left w:val="single" w:sz="8" w:space="0" w:color="auto"/>
              <w:bottom w:val="nil"/>
              <w:right w:val="single" w:sz="8" w:space="0" w:color="auto"/>
            </w:tcBorders>
            <w:shd w:val="clear" w:color="000000" w:fill="C5D9F1"/>
            <w:noWrap/>
            <w:vAlign w:val="center"/>
            <w:hideMark/>
          </w:tcPr>
          <w:p w:rsidR="00A8373C" w:rsidRPr="00FE2699" w:rsidRDefault="00A8373C" w:rsidP="00BB3B93">
            <w:pPr>
              <w:spacing w:after="0" w:line="240" w:lineRule="auto"/>
              <w:jc w:val="center"/>
              <w:rPr>
                <w:rFonts w:ascii="Times New Roman" w:eastAsia="Times New Roman" w:hAnsi="Times New Roman" w:cs="Times New Roman"/>
                <w:bCs/>
                <w:color w:val="000000"/>
                <w:sz w:val="20"/>
                <w:szCs w:val="20"/>
                <w:lang w:eastAsia="ru-RU"/>
              </w:rPr>
            </w:pPr>
            <w:r w:rsidRPr="00FE2699">
              <w:rPr>
                <w:rFonts w:ascii="Times New Roman" w:eastAsia="Times New Roman" w:hAnsi="Times New Roman" w:cs="Times New Roman"/>
                <w:bCs/>
                <w:color w:val="000000"/>
                <w:sz w:val="20"/>
                <w:szCs w:val="20"/>
                <w:lang w:eastAsia="ru-RU"/>
              </w:rPr>
              <w:t>Компания</w:t>
            </w:r>
          </w:p>
        </w:tc>
        <w:tc>
          <w:tcPr>
            <w:tcW w:w="1276" w:type="dxa"/>
            <w:vMerge w:val="restart"/>
            <w:tcBorders>
              <w:top w:val="single" w:sz="8" w:space="0" w:color="auto"/>
              <w:left w:val="single" w:sz="8" w:space="0" w:color="auto"/>
              <w:bottom w:val="nil"/>
              <w:right w:val="nil"/>
            </w:tcBorders>
            <w:shd w:val="clear" w:color="000000" w:fill="C5D9F1"/>
            <w:vAlign w:val="center"/>
            <w:hideMark/>
          </w:tcPr>
          <w:p w:rsidR="00A8373C" w:rsidRPr="00FE2699" w:rsidRDefault="00A8373C" w:rsidP="00BB3B93">
            <w:pPr>
              <w:spacing w:after="0" w:line="240" w:lineRule="auto"/>
              <w:jc w:val="center"/>
              <w:rPr>
                <w:rFonts w:ascii="Times New Roman" w:eastAsia="Times New Roman" w:hAnsi="Times New Roman" w:cs="Times New Roman"/>
                <w:bCs/>
                <w:color w:val="000000"/>
                <w:sz w:val="20"/>
                <w:szCs w:val="20"/>
                <w:lang w:eastAsia="ru-RU"/>
              </w:rPr>
            </w:pPr>
            <w:r w:rsidRPr="00FE2699">
              <w:rPr>
                <w:rFonts w:ascii="Times New Roman" w:eastAsia="Times New Roman" w:hAnsi="Times New Roman" w:cs="Times New Roman"/>
                <w:bCs/>
                <w:color w:val="000000"/>
                <w:sz w:val="20"/>
                <w:szCs w:val="20"/>
                <w:lang w:eastAsia="ru-RU"/>
              </w:rPr>
              <w:t xml:space="preserve">Объем новых сделок в 2012 году, </w:t>
            </w:r>
            <w:proofErr w:type="gramStart"/>
            <w:r w:rsidRPr="00FE2699">
              <w:rPr>
                <w:rFonts w:ascii="Times New Roman" w:eastAsia="Times New Roman" w:hAnsi="Times New Roman" w:cs="Times New Roman"/>
                <w:bCs/>
                <w:color w:val="000000"/>
                <w:sz w:val="20"/>
                <w:szCs w:val="20"/>
                <w:lang w:eastAsia="ru-RU"/>
              </w:rPr>
              <w:t>млн</w:t>
            </w:r>
            <w:proofErr w:type="gramEnd"/>
            <w:r w:rsidRPr="00FE2699">
              <w:rPr>
                <w:rFonts w:ascii="Times New Roman" w:eastAsia="Times New Roman" w:hAnsi="Times New Roman" w:cs="Times New Roman"/>
                <w:bCs/>
                <w:color w:val="000000"/>
                <w:sz w:val="20"/>
                <w:szCs w:val="20"/>
                <w:lang w:eastAsia="ru-RU"/>
              </w:rPr>
              <w:t xml:space="preserve"> руб</w:t>
            </w:r>
            <w:r w:rsidR="00896321">
              <w:rPr>
                <w:rFonts w:ascii="Times New Roman" w:eastAsia="Times New Roman" w:hAnsi="Times New Roman" w:cs="Times New Roman"/>
                <w:bCs/>
                <w:color w:val="000000"/>
                <w:sz w:val="20"/>
                <w:szCs w:val="20"/>
                <w:lang w:eastAsia="ru-RU"/>
              </w:rPr>
              <w:t>лей</w:t>
            </w:r>
          </w:p>
        </w:tc>
        <w:tc>
          <w:tcPr>
            <w:tcW w:w="1559" w:type="dxa"/>
            <w:vMerge w:val="restart"/>
            <w:tcBorders>
              <w:top w:val="single" w:sz="8" w:space="0" w:color="auto"/>
              <w:left w:val="single" w:sz="8" w:space="0" w:color="auto"/>
              <w:bottom w:val="nil"/>
              <w:right w:val="single" w:sz="8" w:space="0" w:color="auto"/>
            </w:tcBorders>
            <w:shd w:val="clear" w:color="000000" w:fill="C5D9F1"/>
            <w:vAlign w:val="center"/>
            <w:hideMark/>
          </w:tcPr>
          <w:p w:rsidR="00A8373C" w:rsidRPr="00FE2699" w:rsidRDefault="00A8373C" w:rsidP="00BB3B93">
            <w:pPr>
              <w:spacing w:after="0" w:line="240" w:lineRule="auto"/>
              <w:jc w:val="center"/>
              <w:rPr>
                <w:rFonts w:ascii="Times New Roman" w:eastAsia="Times New Roman" w:hAnsi="Times New Roman" w:cs="Times New Roman"/>
                <w:bCs/>
                <w:color w:val="000000"/>
                <w:sz w:val="20"/>
                <w:szCs w:val="20"/>
                <w:lang w:eastAsia="ru-RU"/>
              </w:rPr>
            </w:pPr>
            <w:r w:rsidRPr="00FE2699">
              <w:rPr>
                <w:rFonts w:ascii="Times New Roman" w:eastAsia="Times New Roman" w:hAnsi="Times New Roman" w:cs="Times New Roman"/>
                <w:bCs/>
                <w:color w:val="000000"/>
                <w:sz w:val="20"/>
                <w:szCs w:val="20"/>
                <w:lang w:eastAsia="ru-RU"/>
              </w:rPr>
              <w:t xml:space="preserve">Объем новых сделок в 2011 году, </w:t>
            </w:r>
            <w:proofErr w:type="gramStart"/>
            <w:r w:rsidRPr="00FE2699">
              <w:rPr>
                <w:rFonts w:ascii="Times New Roman" w:eastAsia="Times New Roman" w:hAnsi="Times New Roman" w:cs="Times New Roman"/>
                <w:bCs/>
                <w:color w:val="000000"/>
                <w:sz w:val="20"/>
                <w:szCs w:val="20"/>
                <w:lang w:eastAsia="ru-RU"/>
              </w:rPr>
              <w:t>млн</w:t>
            </w:r>
            <w:proofErr w:type="gramEnd"/>
            <w:r w:rsidRPr="00FE2699">
              <w:rPr>
                <w:rFonts w:ascii="Times New Roman" w:eastAsia="Times New Roman" w:hAnsi="Times New Roman" w:cs="Times New Roman"/>
                <w:bCs/>
                <w:color w:val="000000"/>
                <w:sz w:val="20"/>
                <w:szCs w:val="20"/>
                <w:lang w:eastAsia="ru-RU"/>
              </w:rPr>
              <w:t xml:space="preserve"> руб</w:t>
            </w:r>
            <w:r w:rsidR="00896321">
              <w:rPr>
                <w:rFonts w:ascii="Times New Roman" w:eastAsia="Times New Roman" w:hAnsi="Times New Roman" w:cs="Times New Roman"/>
                <w:bCs/>
                <w:color w:val="000000"/>
                <w:sz w:val="20"/>
                <w:szCs w:val="20"/>
                <w:lang w:eastAsia="ru-RU"/>
              </w:rPr>
              <w:t>лей</w:t>
            </w:r>
          </w:p>
        </w:tc>
        <w:tc>
          <w:tcPr>
            <w:tcW w:w="1134" w:type="dxa"/>
            <w:vMerge w:val="restart"/>
            <w:tcBorders>
              <w:top w:val="single" w:sz="8" w:space="0" w:color="auto"/>
              <w:left w:val="nil"/>
              <w:bottom w:val="nil"/>
              <w:right w:val="single" w:sz="8" w:space="0" w:color="auto"/>
            </w:tcBorders>
            <w:shd w:val="clear" w:color="000000" w:fill="C5D9F1"/>
            <w:vAlign w:val="center"/>
            <w:hideMark/>
          </w:tcPr>
          <w:p w:rsidR="00A8373C" w:rsidRPr="00FE2699" w:rsidRDefault="00A8373C" w:rsidP="00BB3B93">
            <w:pPr>
              <w:spacing w:after="0" w:line="240" w:lineRule="auto"/>
              <w:jc w:val="center"/>
              <w:rPr>
                <w:rFonts w:ascii="Times New Roman" w:eastAsia="Times New Roman" w:hAnsi="Times New Roman" w:cs="Times New Roman"/>
                <w:bCs/>
                <w:color w:val="000000"/>
                <w:sz w:val="20"/>
                <w:szCs w:val="20"/>
                <w:lang w:eastAsia="ru-RU"/>
              </w:rPr>
            </w:pPr>
            <w:r w:rsidRPr="00FE2699">
              <w:rPr>
                <w:rFonts w:ascii="Times New Roman" w:eastAsia="Times New Roman" w:hAnsi="Times New Roman" w:cs="Times New Roman"/>
                <w:bCs/>
                <w:color w:val="000000"/>
                <w:sz w:val="20"/>
                <w:szCs w:val="20"/>
                <w:lang w:eastAsia="ru-RU"/>
              </w:rPr>
              <w:t>Темп прироста</w:t>
            </w:r>
            <w:r w:rsidR="00896321">
              <w:rPr>
                <w:rFonts w:ascii="Times New Roman" w:eastAsia="Times New Roman" w:hAnsi="Times New Roman" w:cs="Times New Roman"/>
                <w:bCs/>
                <w:color w:val="000000"/>
                <w:sz w:val="20"/>
                <w:szCs w:val="20"/>
                <w:lang w:eastAsia="ru-RU"/>
              </w:rPr>
              <w:t xml:space="preserve"> в</w:t>
            </w:r>
            <w:r w:rsidRPr="00FE2699">
              <w:rPr>
                <w:rFonts w:ascii="Times New Roman" w:eastAsia="Times New Roman" w:hAnsi="Times New Roman" w:cs="Times New Roman"/>
                <w:bCs/>
                <w:color w:val="000000"/>
                <w:sz w:val="20"/>
                <w:szCs w:val="20"/>
                <w:lang w:eastAsia="ru-RU"/>
              </w:rPr>
              <w:t xml:space="preserve"> 2012/2011, %</w:t>
            </w:r>
          </w:p>
        </w:tc>
        <w:tc>
          <w:tcPr>
            <w:tcW w:w="1417" w:type="dxa"/>
            <w:vMerge w:val="restart"/>
            <w:tcBorders>
              <w:top w:val="single" w:sz="8" w:space="0" w:color="auto"/>
              <w:left w:val="single" w:sz="8" w:space="0" w:color="auto"/>
              <w:bottom w:val="nil"/>
              <w:right w:val="single" w:sz="8" w:space="0" w:color="auto"/>
            </w:tcBorders>
            <w:shd w:val="clear" w:color="000000" w:fill="C5D9F1"/>
            <w:vAlign w:val="center"/>
            <w:hideMark/>
          </w:tcPr>
          <w:p w:rsidR="00A8373C" w:rsidRPr="00FE2699" w:rsidRDefault="00A8373C" w:rsidP="00BB3B93">
            <w:pPr>
              <w:spacing w:after="0" w:line="240" w:lineRule="auto"/>
              <w:jc w:val="center"/>
              <w:rPr>
                <w:rFonts w:ascii="Times New Roman" w:eastAsia="Times New Roman" w:hAnsi="Times New Roman" w:cs="Times New Roman"/>
                <w:bCs/>
                <w:color w:val="000000"/>
                <w:sz w:val="20"/>
                <w:szCs w:val="20"/>
                <w:lang w:eastAsia="ru-RU"/>
              </w:rPr>
            </w:pPr>
            <w:r w:rsidRPr="00FE2699">
              <w:rPr>
                <w:rFonts w:ascii="Times New Roman" w:eastAsia="Times New Roman" w:hAnsi="Times New Roman" w:cs="Times New Roman"/>
                <w:bCs/>
                <w:color w:val="000000"/>
                <w:sz w:val="20"/>
                <w:szCs w:val="20"/>
                <w:lang w:eastAsia="ru-RU"/>
              </w:rPr>
              <w:t>Рейтинг</w:t>
            </w:r>
            <w:r>
              <w:rPr>
                <w:rFonts w:ascii="Times New Roman" w:eastAsia="Times New Roman" w:hAnsi="Times New Roman" w:cs="Times New Roman"/>
                <w:bCs/>
                <w:color w:val="000000"/>
                <w:sz w:val="20"/>
                <w:szCs w:val="20"/>
                <w:lang w:eastAsia="ru-RU"/>
              </w:rPr>
              <w:t>и</w:t>
            </w:r>
            <w:r w:rsidRPr="00FE2699">
              <w:rPr>
                <w:rFonts w:ascii="Times New Roman" w:eastAsia="Times New Roman" w:hAnsi="Times New Roman" w:cs="Times New Roman"/>
                <w:bCs/>
                <w:color w:val="000000"/>
                <w:sz w:val="20"/>
                <w:szCs w:val="20"/>
                <w:lang w:eastAsia="ru-RU"/>
              </w:rPr>
              <w:t xml:space="preserve"> финансовой устойчивости </w:t>
            </w:r>
            <w:r w:rsidR="00896321">
              <w:rPr>
                <w:rFonts w:ascii="Times New Roman" w:eastAsia="Times New Roman" w:hAnsi="Times New Roman" w:cs="Times New Roman"/>
                <w:bCs/>
                <w:color w:val="000000"/>
                <w:sz w:val="20"/>
                <w:szCs w:val="20"/>
                <w:lang w:eastAsia="ru-RU"/>
              </w:rPr>
              <w:t>«</w:t>
            </w:r>
            <w:r w:rsidRPr="00FE2699">
              <w:rPr>
                <w:rFonts w:ascii="Times New Roman" w:eastAsia="Times New Roman" w:hAnsi="Times New Roman" w:cs="Times New Roman"/>
                <w:bCs/>
                <w:color w:val="000000"/>
                <w:sz w:val="20"/>
                <w:szCs w:val="20"/>
                <w:lang w:eastAsia="ru-RU"/>
              </w:rPr>
              <w:t>Эксперт</w:t>
            </w:r>
            <w:r w:rsidR="00896321">
              <w:rPr>
                <w:rFonts w:ascii="Times New Roman" w:eastAsia="Times New Roman" w:hAnsi="Times New Roman" w:cs="Times New Roman"/>
                <w:bCs/>
                <w:color w:val="000000"/>
                <w:sz w:val="20"/>
                <w:szCs w:val="20"/>
                <w:lang w:eastAsia="ru-RU"/>
              </w:rPr>
              <w:t>а</w:t>
            </w:r>
            <w:r w:rsidRPr="00FE2699">
              <w:rPr>
                <w:rFonts w:ascii="Times New Roman" w:eastAsia="Times New Roman" w:hAnsi="Times New Roman" w:cs="Times New Roman"/>
                <w:bCs/>
                <w:color w:val="000000"/>
                <w:sz w:val="20"/>
                <w:szCs w:val="20"/>
                <w:lang w:eastAsia="ru-RU"/>
              </w:rPr>
              <w:t xml:space="preserve"> РА</w:t>
            </w:r>
            <w:r w:rsidR="00896321">
              <w:rPr>
                <w:rFonts w:ascii="Times New Roman" w:eastAsia="Times New Roman" w:hAnsi="Times New Roman" w:cs="Times New Roman"/>
                <w:bCs/>
                <w:color w:val="000000"/>
                <w:sz w:val="20"/>
                <w:szCs w:val="20"/>
                <w:lang w:eastAsia="ru-RU"/>
              </w:rPr>
              <w:t>»</w:t>
            </w:r>
          </w:p>
        </w:tc>
      </w:tr>
      <w:tr w:rsidR="00A8373C" w:rsidRPr="00C64A89" w:rsidTr="00BB3B93">
        <w:trPr>
          <w:trHeight w:val="315"/>
        </w:trPr>
        <w:tc>
          <w:tcPr>
            <w:tcW w:w="1418" w:type="dxa"/>
            <w:vMerge/>
            <w:tcBorders>
              <w:top w:val="single" w:sz="8" w:space="0" w:color="auto"/>
              <w:left w:val="single" w:sz="8" w:space="0" w:color="auto"/>
              <w:bottom w:val="nil"/>
              <w:right w:val="single" w:sz="8" w:space="0" w:color="auto"/>
            </w:tcBorders>
            <w:vAlign w:val="center"/>
            <w:hideMark/>
          </w:tcPr>
          <w:p w:rsidR="00A8373C" w:rsidRPr="00C64A89" w:rsidRDefault="00A8373C" w:rsidP="00BB3B9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8" w:space="0" w:color="auto"/>
              <w:left w:val="single" w:sz="8" w:space="0" w:color="auto"/>
              <w:bottom w:val="nil"/>
              <w:right w:val="single" w:sz="8" w:space="0" w:color="auto"/>
            </w:tcBorders>
            <w:vAlign w:val="center"/>
            <w:hideMark/>
          </w:tcPr>
          <w:p w:rsidR="00A8373C" w:rsidRPr="00C64A89" w:rsidRDefault="00A8373C" w:rsidP="00BB3B93">
            <w:pPr>
              <w:spacing w:after="0" w:line="240" w:lineRule="auto"/>
              <w:rPr>
                <w:rFonts w:ascii="Times New Roman" w:eastAsia="Times New Roman" w:hAnsi="Times New Roman" w:cs="Times New Roman"/>
                <w:b/>
                <w:bCs/>
                <w:color w:val="000000"/>
                <w:sz w:val="20"/>
                <w:szCs w:val="20"/>
                <w:lang w:eastAsia="ru-RU"/>
              </w:rPr>
            </w:pPr>
          </w:p>
        </w:tc>
        <w:tc>
          <w:tcPr>
            <w:tcW w:w="2977" w:type="dxa"/>
            <w:vMerge/>
            <w:tcBorders>
              <w:top w:val="single" w:sz="8" w:space="0" w:color="auto"/>
              <w:left w:val="single" w:sz="8" w:space="0" w:color="auto"/>
              <w:bottom w:val="nil"/>
              <w:right w:val="single" w:sz="8" w:space="0" w:color="auto"/>
            </w:tcBorders>
            <w:vAlign w:val="center"/>
            <w:hideMark/>
          </w:tcPr>
          <w:p w:rsidR="00A8373C" w:rsidRPr="00C64A89" w:rsidRDefault="00A8373C" w:rsidP="00BB3B93">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8" w:space="0" w:color="auto"/>
              <w:left w:val="single" w:sz="8" w:space="0" w:color="auto"/>
              <w:bottom w:val="nil"/>
              <w:right w:val="nil"/>
            </w:tcBorders>
            <w:vAlign w:val="center"/>
            <w:hideMark/>
          </w:tcPr>
          <w:p w:rsidR="00A8373C" w:rsidRPr="00C64A89" w:rsidRDefault="00A8373C" w:rsidP="00BB3B93">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A8373C" w:rsidRPr="00C64A89" w:rsidRDefault="00A8373C" w:rsidP="00BB3B9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8" w:space="0" w:color="auto"/>
              <w:left w:val="nil"/>
              <w:bottom w:val="nil"/>
              <w:right w:val="single" w:sz="8" w:space="0" w:color="auto"/>
            </w:tcBorders>
            <w:vAlign w:val="center"/>
            <w:hideMark/>
          </w:tcPr>
          <w:p w:rsidR="00A8373C" w:rsidRPr="00C64A89" w:rsidRDefault="00A8373C" w:rsidP="00BB3B93">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8" w:space="0" w:color="auto"/>
              <w:left w:val="single" w:sz="8" w:space="0" w:color="auto"/>
              <w:bottom w:val="nil"/>
              <w:right w:val="single" w:sz="8" w:space="0" w:color="auto"/>
            </w:tcBorders>
            <w:vAlign w:val="center"/>
            <w:hideMark/>
          </w:tcPr>
          <w:p w:rsidR="00A8373C" w:rsidRPr="00C64A89" w:rsidRDefault="00A8373C" w:rsidP="00BB3B93">
            <w:pPr>
              <w:spacing w:after="0" w:line="240" w:lineRule="auto"/>
              <w:jc w:val="center"/>
              <w:rPr>
                <w:rFonts w:ascii="Times New Roman" w:eastAsia="Times New Roman" w:hAnsi="Times New Roman" w:cs="Times New Roman"/>
                <w:b/>
                <w:bCs/>
                <w:color w:val="000000"/>
                <w:sz w:val="20"/>
                <w:szCs w:val="20"/>
                <w:lang w:eastAsia="ru-RU"/>
              </w:rPr>
            </w:pPr>
          </w:p>
        </w:tc>
      </w:tr>
      <w:tr w:rsidR="00A8373C" w:rsidRPr="00C64A89" w:rsidTr="00BB3B93">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proofErr w:type="spellStart"/>
            <w:r w:rsidRPr="00C64A89">
              <w:rPr>
                <w:rFonts w:ascii="Calibri" w:eastAsia="Times New Roman" w:hAnsi="Calibri" w:cs="Calibri"/>
                <w:color w:val="000000"/>
                <w:lang w:eastAsia="ru-RU"/>
              </w:rPr>
              <w:t>Европлан</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44 071,2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31 703,4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39,0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lastRenderedPageBreak/>
              <w:t>2</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6</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ВЭБ-лизинг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34 341,0</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15375,6</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123,3</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6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Государственная транспортная лизинговая компания</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30 323,8</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22552,8</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34,5</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proofErr w:type="spellStart"/>
            <w:r w:rsidRPr="00C64A89">
              <w:rPr>
                <w:rFonts w:ascii="Calibri" w:eastAsia="Times New Roman" w:hAnsi="Calibri" w:cs="Calibri"/>
                <w:color w:val="000000"/>
                <w:lang w:eastAsia="ru-RU"/>
              </w:rPr>
              <w:t>ТрансФин</w:t>
            </w:r>
            <w:proofErr w:type="spellEnd"/>
            <w:r w:rsidRPr="00C64A89">
              <w:rPr>
                <w:rFonts w:ascii="Calibri" w:eastAsia="Times New Roman" w:hAnsi="Calibri" w:cs="Calibri"/>
                <w:color w:val="000000"/>
                <w:lang w:eastAsia="ru-RU"/>
              </w:rPr>
              <w:t>-М</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25 275,2</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СБЕРБАНК ЛИЗИНГ</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 xml:space="preserve"> (ГК)</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22 883,6</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52148,5</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-56,1</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5</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CARCADE Лизинг </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21 057,6</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17997,9</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17,0</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7</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7</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ГК Балтийский лизинг</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17 143,1</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12244,6</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40,0</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10</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ГЛК Газпромбанк Лизинг</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15 359,8</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6799,1</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125,9</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8</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Лизинговая компания УРАЛСИБ</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12 074,0</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9827</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22,9</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9</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Элемент 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10 027,4</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7204,9</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39,2</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11</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16</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Система Лизинг 24 </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8 536,4</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3945,4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116,4</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12</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12</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СТОУН-</w:t>
            </w:r>
            <w:proofErr w:type="gramStart"/>
            <w:r w:rsidRPr="00C64A89">
              <w:rPr>
                <w:rFonts w:ascii="Calibri" w:eastAsia="Times New Roman" w:hAnsi="Calibri" w:cs="Calibri"/>
                <w:color w:val="000000"/>
                <w:lang w:eastAsia="ru-RU"/>
              </w:rPr>
              <w:t>XXI</w:t>
            </w:r>
            <w:proofErr w:type="gramEnd"/>
            <w:r w:rsidRPr="00C64A89">
              <w:rPr>
                <w:rFonts w:ascii="Calibri" w:eastAsia="Times New Roman" w:hAnsi="Calibri" w:cs="Calibri"/>
                <w:color w:val="000000"/>
                <w:lang w:eastAsia="ru-RU"/>
              </w:rPr>
              <w:t xml:space="preserve">    (ГК)</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7 763,4</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5288,9</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46,8</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13</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14</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КАМАЗ-ЛИЗИНГ</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 xml:space="preserve"> (ГК)</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7 489,8</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4059,4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84,5</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14</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11</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proofErr w:type="spellStart"/>
            <w:r w:rsidRPr="00C64A89">
              <w:rPr>
                <w:rFonts w:ascii="Calibri" w:eastAsia="Times New Roman" w:hAnsi="Calibri" w:cs="Calibri"/>
                <w:color w:val="000000"/>
                <w:lang w:eastAsia="ru-RU"/>
              </w:rPr>
              <w:t>Дойче</w:t>
            </w:r>
            <w:proofErr w:type="spellEnd"/>
            <w:r w:rsidRPr="00C64A89">
              <w:rPr>
                <w:rFonts w:ascii="Calibri" w:eastAsia="Times New Roman" w:hAnsi="Calibri" w:cs="Calibri"/>
                <w:color w:val="000000"/>
                <w:lang w:eastAsia="ru-RU"/>
              </w:rPr>
              <w:t xml:space="preserve"> Лизинг Восток</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6 119,1</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5663,5</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8,0</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15</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37</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ГК Альфа-Лизинг</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5 728,9</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970,1</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490,5</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16</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18</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ФБ-ЛИЗИНГ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4 555,2</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3225,4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41,2</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17</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33</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МСП 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4 417,0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1 380,9</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219,9</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18</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ВЕКТОР-ЛИЗИНГ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3 731,4</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6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19</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proofErr w:type="spellStart"/>
            <w:r w:rsidRPr="00C64A89">
              <w:rPr>
                <w:rFonts w:ascii="Calibri" w:eastAsia="Times New Roman" w:hAnsi="Calibri" w:cs="Calibri"/>
                <w:color w:val="000000"/>
                <w:lang w:eastAsia="ru-RU"/>
              </w:rPr>
              <w:t>ЮниКредит</w:t>
            </w:r>
            <w:proofErr w:type="spellEnd"/>
            <w:r w:rsidRPr="00C64A89">
              <w:rPr>
                <w:rFonts w:ascii="Calibri" w:eastAsia="Times New Roman" w:hAnsi="Calibri" w:cs="Calibri"/>
                <w:color w:val="000000"/>
                <w:lang w:eastAsia="ru-RU"/>
              </w:rPr>
              <w:t xml:space="preserve"> Лизинг</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 xml:space="preserve"> и  </w:t>
            </w:r>
            <w:r w:rsidR="00720EA4">
              <w:rPr>
                <w:rFonts w:ascii="Calibri" w:eastAsia="Times New Roman" w:hAnsi="Calibri" w:cs="Calibri"/>
                <w:color w:val="000000"/>
                <w:lang w:eastAsia="ru-RU"/>
              </w:rPr>
              <w:t>«</w:t>
            </w:r>
            <w:proofErr w:type="spellStart"/>
            <w:r w:rsidRPr="00C64A89">
              <w:rPr>
                <w:rFonts w:ascii="Calibri" w:eastAsia="Times New Roman" w:hAnsi="Calibri" w:cs="Calibri"/>
                <w:color w:val="000000"/>
                <w:lang w:eastAsia="ru-RU"/>
              </w:rPr>
              <w:t>Локат</w:t>
            </w:r>
            <w:proofErr w:type="spellEnd"/>
            <w:r w:rsidRPr="00C64A89">
              <w:rPr>
                <w:rFonts w:ascii="Calibri" w:eastAsia="Times New Roman" w:hAnsi="Calibri" w:cs="Calibri"/>
                <w:color w:val="000000"/>
                <w:lang w:eastAsia="ru-RU"/>
              </w:rPr>
              <w:t xml:space="preserve"> Лизинг </w:t>
            </w:r>
            <w:proofErr w:type="spellStart"/>
            <w:r w:rsidRPr="00C64A89">
              <w:rPr>
                <w:rFonts w:ascii="Calibri" w:eastAsia="Times New Roman" w:hAnsi="Calibri" w:cs="Calibri"/>
                <w:color w:val="000000"/>
                <w:lang w:eastAsia="ru-RU"/>
              </w:rPr>
              <w:t>Руссия</w:t>
            </w:r>
            <w:proofErr w:type="spellEnd"/>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3 559,4</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Default="00A8373C" w:rsidP="00BB3B93">
            <w:pPr>
              <w:spacing w:after="0" w:line="240" w:lineRule="auto"/>
              <w:jc w:val="right"/>
              <w:rPr>
                <w:rFonts w:ascii="Calibri" w:eastAsia="Times New Roman" w:hAnsi="Calibri" w:cs="Calibri"/>
                <w:color w:val="000000"/>
                <w:lang w:val="en-US" w:eastAsia="ru-RU"/>
              </w:rPr>
            </w:pPr>
            <w:r w:rsidRPr="00C64A89">
              <w:rPr>
                <w:rFonts w:ascii="Calibri" w:eastAsia="Times New Roman" w:hAnsi="Calibri" w:cs="Calibri"/>
                <w:color w:val="000000"/>
                <w:lang w:eastAsia="ru-RU"/>
              </w:rPr>
              <w:t> </w:t>
            </w:r>
            <w:r>
              <w:rPr>
                <w:rFonts w:ascii="Calibri" w:eastAsia="Times New Roman" w:hAnsi="Calibri" w:cs="Calibri"/>
                <w:color w:val="000000"/>
                <w:lang w:val="en-US" w:eastAsia="ru-RU"/>
              </w:rPr>
              <w:t>-</w:t>
            </w:r>
          </w:p>
          <w:p w:rsidR="00A8373C" w:rsidRPr="00C64A89" w:rsidRDefault="00A8373C" w:rsidP="00BB3B93">
            <w:pPr>
              <w:spacing w:after="0" w:line="240" w:lineRule="auto"/>
              <w:jc w:val="right"/>
              <w:rPr>
                <w:rFonts w:ascii="Calibri" w:eastAsia="Times New Roman" w:hAnsi="Calibri" w:cs="Calibri"/>
                <w:color w:val="000000"/>
                <w:lang w:val="en-US" w:eastAsia="ru-RU"/>
              </w:rPr>
            </w:pP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6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20</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Тюменская агропромышленная лизинговая компания</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3 428,8</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Default="00A8373C" w:rsidP="00BB3B93">
            <w:pPr>
              <w:spacing w:after="0" w:line="240" w:lineRule="auto"/>
              <w:jc w:val="right"/>
              <w:rPr>
                <w:rFonts w:ascii="Calibri" w:eastAsia="Times New Roman" w:hAnsi="Calibri" w:cs="Calibri"/>
                <w:color w:val="000000"/>
                <w:lang w:val="en-US" w:eastAsia="ru-RU"/>
              </w:rPr>
            </w:pPr>
            <w:r w:rsidRPr="00C64A89">
              <w:rPr>
                <w:rFonts w:ascii="Calibri" w:eastAsia="Times New Roman" w:hAnsi="Calibri" w:cs="Calibri"/>
                <w:color w:val="000000"/>
                <w:lang w:eastAsia="ru-RU"/>
              </w:rPr>
              <w:t> </w:t>
            </w:r>
            <w:r>
              <w:rPr>
                <w:rFonts w:ascii="Calibri" w:eastAsia="Times New Roman" w:hAnsi="Calibri" w:cs="Calibri"/>
                <w:color w:val="000000"/>
                <w:lang w:val="en-US" w:eastAsia="ru-RU"/>
              </w:rPr>
              <w:t>-</w:t>
            </w:r>
          </w:p>
          <w:p w:rsidR="00A8373C" w:rsidRPr="00C64A89" w:rsidRDefault="00A8373C" w:rsidP="00BB3B93">
            <w:pPr>
              <w:spacing w:after="0" w:line="240" w:lineRule="auto"/>
              <w:jc w:val="right"/>
              <w:rPr>
                <w:rFonts w:ascii="Calibri" w:eastAsia="Times New Roman" w:hAnsi="Calibri" w:cs="Calibri"/>
                <w:color w:val="000000"/>
                <w:lang w:val="en-US" w:eastAsia="ru-RU"/>
              </w:rPr>
            </w:pP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3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proofErr w:type="spellStart"/>
            <w:r w:rsidRPr="00C64A89">
              <w:rPr>
                <w:rFonts w:ascii="Calibri" w:eastAsia="Times New Roman" w:hAnsi="Calibri" w:cs="Calibri"/>
                <w:color w:val="000000"/>
                <w:lang w:eastAsia="ru-RU"/>
              </w:rPr>
              <w:t>Ураллизинг</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3 427,0</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val="en-US" w:eastAsia="ru-RU"/>
              </w:rPr>
            </w:pPr>
            <w:r w:rsidRPr="00C64A89">
              <w:rPr>
                <w:rFonts w:ascii="Calibri" w:eastAsia="Times New Roman" w:hAnsi="Calibri" w:cs="Calibri"/>
                <w:color w:val="000000"/>
                <w:lang w:eastAsia="ru-RU"/>
              </w:rPr>
              <w:t> </w:t>
            </w:r>
            <w:r>
              <w:rPr>
                <w:rFonts w:ascii="Calibri" w:eastAsia="Times New Roman" w:hAnsi="Calibri" w:cs="Calibri"/>
                <w:color w:val="000000"/>
                <w:lang w:val="en-US"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22</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17</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ЭКСПО-лизинг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2 790,1</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3298,2</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-15,4</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23</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38</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ЮГРА-ЛИЗИНГ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2 241,7</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935,0</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139,8</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24</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25</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ИКБ Лизинг</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2 105,0</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1930</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9,1</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25</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23</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 xml:space="preserve">Лизинговая компания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Дельта</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2 012,7</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2278,3</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-11,7</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А</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26</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20</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proofErr w:type="spellStart"/>
            <w:r w:rsidRPr="00C64A89">
              <w:rPr>
                <w:rFonts w:ascii="Calibri" w:eastAsia="Times New Roman" w:hAnsi="Calibri" w:cs="Calibri"/>
                <w:color w:val="000000"/>
                <w:lang w:eastAsia="ru-RU"/>
              </w:rPr>
              <w:t>Райффайзен</w:t>
            </w:r>
            <w:proofErr w:type="spellEnd"/>
            <w:r w:rsidRPr="00C64A89">
              <w:rPr>
                <w:rFonts w:ascii="Calibri" w:eastAsia="Times New Roman" w:hAnsi="Calibri" w:cs="Calibri"/>
                <w:color w:val="000000"/>
                <w:lang w:eastAsia="ru-RU"/>
              </w:rPr>
              <w:t>-Лизинг</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1 864,0</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2878,4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-35,2</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6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27</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31</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r w:rsidRPr="00C64A89">
              <w:rPr>
                <w:rFonts w:ascii="Calibri" w:eastAsia="Times New Roman" w:hAnsi="Calibri" w:cs="Calibri"/>
                <w:color w:val="000000"/>
                <w:lang w:eastAsia="ru-RU"/>
              </w:rPr>
              <w:t>Промышленная лизинговая компания</w:t>
            </w:r>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1 813,3</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1 502,0</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20,7</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28</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35</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proofErr w:type="spellStart"/>
            <w:r w:rsidRPr="00C64A89">
              <w:rPr>
                <w:rFonts w:ascii="Calibri" w:eastAsia="Times New Roman" w:hAnsi="Calibri" w:cs="Calibri"/>
                <w:color w:val="000000"/>
                <w:lang w:eastAsia="ru-RU"/>
              </w:rPr>
              <w:t>ЭкономЛизинг</w:t>
            </w:r>
            <w:proofErr w:type="spellEnd"/>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1 658,3</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1 125,4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47,4</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sidRPr="00C64A89">
              <w:rPr>
                <w:rFonts w:ascii="Calibri" w:eastAsia="Times New Roman" w:hAnsi="Calibri" w:cs="Calibri"/>
                <w:color w:val="000000"/>
                <w:lang w:eastAsia="ru-RU"/>
              </w:rPr>
              <w:t>В++</w:t>
            </w:r>
          </w:p>
        </w:tc>
      </w:tr>
      <w:tr w:rsidR="00A8373C" w:rsidRPr="00C64A89" w:rsidTr="00BB3B93">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29</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24</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rPr>
                <w:rFonts w:ascii="Calibri" w:eastAsia="Times New Roman" w:hAnsi="Calibri" w:cs="Calibri"/>
                <w:color w:val="000000"/>
                <w:lang w:eastAsia="ru-RU"/>
              </w:rPr>
            </w:pPr>
            <w:r w:rsidRPr="00C64A89">
              <w:rPr>
                <w:rFonts w:ascii="Calibri" w:eastAsia="Times New Roman" w:hAnsi="Calibri" w:cs="Calibri"/>
                <w:color w:val="000000"/>
                <w:lang w:eastAsia="ru-RU"/>
              </w:rPr>
              <w:t xml:space="preserve"> </w:t>
            </w:r>
            <w:r w:rsidR="00720EA4">
              <w:rPr>
                <w:rFonts w:ascii="Calibri" w:eastAsia="Times New Roman" w:hAnsi="Calibri" w:cs="Calibri"/>
                <w:color w:val="000000"/>
                <w:lang w:eastAsia="ru-RU"/>
              </w:rPr>
              <w:t>«</w:t>
            </w:r>
            <w:proofErr w:type="spellStart"/>
            <w:r w:rsidRPr="00C64A89">
              <w:rPr>
                <w:rFonts w:ascii="Calibri" w:eastAsia="Times New Roman" w:hAnsi="Calibri" w:cs="Calibri"/>
                <w:color w:val="000000"/>
                <w:lang w:eastAsia="ru-RU"/>
              </w:rPr>
              <w:t>ЧелИндЛизинг</w:t>
            </w:r>
            <w:proofErr w:type="spellEnd"/>
            <w:r w:rsidR="00720EA4">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1 656,9</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Arial CYR"/>
                <w:color w:val="000000"/>
                <w:lang w:eastAsia="ru-RU"/>
              </w:rPr>
              <w:t>2092,6</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-20,8</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30</w:t>
            </w:r>
          </w:p>
        </w:tc>
        <w:tc>
          <w:tcPr>
            <w:tcW w:w="1134"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2977" w:type="dxa"/>
            <w:tcBorders>
              <w:top w:val="nil"/>
              <w:left w:val="nil"/>
              <w:bottom w:val="single" w:sz="4" w:space="0" w:color="auto"/>
              <w:right w:val="single" w:sz="4" w:space="0" w:color="auto"/>
            </w:tcBorders>
            <w:shd w:val="clear" w:color="auto" w:fill="auto"/>
            <w:vAlign w:val="bottom"/>
            <w:hideMark/>
          </w:tcPr>
          <w:p w:rsidR="00A8373C" w:rsidRPr="00C64A89" w:rsidRDefault="00720EA4" w:rsidP="00BB3B93">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w:t>
            </w:r>
            <w:proofErr w:type="spellStart"/>
            <w:r w:rsidR="00A8373C" w:rsidRPr="00C64A89">
              <w:rPr>
                <w:rFonts w:ascii="Calibri" w:eastAsia="Times New Roman" w:hAnsi="Calibri" w:cs="Calibri"/>
                <w:color w:val="000000"/>
                <w:lang w:eastAsia="ru-RU"/>
              </w:rPr>
              <w:t>Транслизинг</w:t>
            </w:r>
            <w:proofErr w:type="spellEnd"/>
            <w:r w:rsidR="00A8373C" w:rsidRPr="00C64A89">
              <w:rPr>
                <w:rFonts w:ascii="Calibri" w:eastAsia="Times New Roman" w:hAnsi="Calibri" w:cs="Calibri"/>
                <w:color w:val="000000"/>
                <w:lang w:eastAsia="ru-RU"/>
              </w:rPr>
              <w:t>-сервис</w:t>
            </w:r>
            <w:r>
              <w:rPr>
                <w:rFonts w:ascii="Calibri" w:eastAsia="Times New Roman" w:hAnsi="Calibri" w:cs="Calibri"/>
                <w:color w:val="000000"/>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1 470,0</w:t>
            </w:r>
          </w:p>
        </w:tc>
        <w:tc>
          <w:tcPr>
            <w:tcW w:w="1559"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right"/>
              <w:rPr>
                <w:rFonts w:ascii="Calibri" w:eastAsia="Times New Roman" w:hAnsi="Calibri" w:cs="Calibri"/>
                <w:color w:val="000000"/>
                <w:lang w:eastAsia="ru-RU"/>
              </w:rPr>
            </w:pPr>
            <w:r w:rsidRPr="00C64A89">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w:t>
            </w:r>
          </w:p>
        </w:tc>
        <w:tc>
          <w:tcPr>
            <w:tcW w:w="1417" w:type="dxa"/>
            <w:tcBorders>
              <w:top w:val="nil"/>
              <w:left w:val="nil"/>
              <w:bottom w:val="single" w:sz="4" w:space="0" w:color="auto"/>
              <w:right w:val="single" w:sz="4" w:space="0" w:color="auto"/>
            </w:tcBorders>
            <w:shd w:val="clear" w:color="auto" w:fill="auto"/>
            <w:noWrap/>
            <w:vAlign w:val="bottom"/>
            <w:hideMark/>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31</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Ак Барс 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1 434,8</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32</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ШРЕИ 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1 383,7</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33</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30</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Национальная Лизинговая Компания</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1 377,0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1 524,2</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-9,7%</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34</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Санкт-Петербургская лизинговая компания</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1 317,3</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35</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ВСП-Лизинг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1 302,0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36</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Эксперт-Лизинг</w:t>
            </w:r>
            <w:r w:rsidR="00720EA4">
              <w:rPr>
                <w:rFonts w:ascii="Calibri" w:hAnsi="Calibri" w:cs="Calibri"/>
                <w:color w:val="000000"/>
              </w:rPr>
              <w:t>»</w:t>
            </w:r>
            <w:r>
              <w:rPr>
                <w:rFonts w:ascii="Calibri" w:hAnsi="Calibri" w:cs="Calibri"/>
                <w:color w:val="000000"/>
              </w:rPr>
              <w:t xml:space="preserve"> (Челябинск)</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1 264,3</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859,3</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47,1</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37</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42</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Югорская лизинговая компания </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1 173,8</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833,4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40,8</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lastRenderedPageBreak/>
              <w:t>38</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БЭЛТИ-ГРАНД</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1 146,0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39</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proofErr w:type="spellStart"/>
            <w:r>
              <w:rPr>
                <w:rFonts w:ascii="Calibri" w:hAnsi="Calibri" w:cs="Calibri"/>
                <w:color w:val="000000"/>
              </w:rPr>
              <w:t>Экстролизинг</w:t>
            </w:r>
            <w:proofErr w:type="spellEnd"/>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1 137,6</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40</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36</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Столичный 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1 047,4</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1 076,5</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-2,7</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41</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АКБ </w:t>
            </w:r>
            <w:r w:rsidR="00720EA4">
              <w:rPr>
                <w:rFonts w:ascii="Calibri" w:hAnsi="Calibri" w:cs="Calibri"/>
                <w:color w:val="000000"/>
              </w:rPr>
              <w:t>«</w:t>
            </w:r>
            <w:proofErr w:type="spellStart"/>
            <w:r>
              <w:rPr>
                <w:rFonts w:ascii="Calibri" w:hAnsi="Calibri" w:cs="Calibri"/>
                <w:color w:val="000000"/>
              </w:rPr>
              <w:t>ЦентроКредит</w:t>
            </w:r>
            <w:proofErr w:type="spellEnd"/>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925,1</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42</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ОФК-Лизинг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922,6</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43</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43</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proofErr w:type="spellStart"/>
            <w:r>
              <w:rPr>
                <w:rFonts w:ascii="Calibri" w:hAnsi="Calibri" w:cs="Calibri"/>
                <w:color w:val="000000"/>
              </w:rPr>
              <w:t>Уралпромлизинг</w:t>
            </w:r>
            <w:proofErr w:type="spellEnd"/>
            <w:r w:rsidR="00720EA4">
              <w:rPr>
                <w:rFonts w:ascii="Calibri" w:hAnsi="Calibri" w:cs="Calibri"/>
                <w:color w:val="000000"/>
              </w:rPr>
              <w:t>»</w:t>
            </w:r>
            <w:r>
              <w:rPr>
                <w:rFonts w:ascii="Calibri" w:hAnsi="Calibri" w:cs="Calibri"/>
                <w:color w:val="000000"/>
              </w:rPr>
              <w:t xml:space="preserve"> (ГК)</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921,3</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830,1</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11,0</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44</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48</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Гознак-лизинг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917,2</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612,7</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49,7</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45</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27</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 xml:space="preserve">Банк </w:t>
            </w:r>
            <w:proofErr w:type="spellStart"/>
            <w:r>
              <w:rPr>
                <w:rFonts w:ascii="Calibri" w:hAnsi="Calibri" w:cs="Calibri"/>
                <w:color w:val="000000"/>
              </w:rPr>
              <w:t>Интеза</w:t>
            </w:r>
            <w:proofErr w:type="spellEnd"/>
            <w:r w:rsidR="00720EA4">
              <w:rPr>
                <w:rFonts w:ascii="Calibri" w:hAnsi="Calibri" w:cs="Calibri"/>
                <w:color w:val="000000"/>
              </w:rPr>
              <w:t>»</w:t>
            </w:r>
            <w:r>
              <w:rPr>
                <w:rFonts w:ascii="Calibri" w:hAnsi="Calibri" w:cs="Calibri"/>
                <w:color w:val="000000"/>
              </w:rPr>
              <w:t xml:space="preserve"> и  </w:t>
            </w:r>
            <w:r w:rsidR="00720EA4">
              <w:rPr>
                <w:rFonts w:ascii="Calibri" w:hAnsi="Calibri" w:cs="Calibri"/>
                <w:color w:val="000000"/>
              </w:rPr>
              <w:t>«</w:t>
            </w:r>
            <w:proofErr w:type="spellStart"/>
            <w:r>
              <w:rPr>
                <w:rFonts w:ascii="Calibri" w:hAnsi="Calibri" w:cs="Calibri"/>
                <w:color w:val="000000"/>
              </w:rPr>
              <w:t>Интеза</w:t>
            </w:r>
            <w:proofErr w:type="spellEnd"/>
            <w:r>
              <w:rPr>
                <w:rFonts w:ascii="Calibri" w:hAnsi="Calibri" w:cs="Calibri"/>
                <w:color w:val="000000"/>
              </w:rPr>
              <w:t xml:space="preserve"> 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909,0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1 835,0</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-50,5</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46</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29</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ЛИЗФАЙНЭНС</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909,0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1 579,0</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-42,4</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А</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47</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45</w:t>
            </w:r>
          </w:p>
        </w:tc>
        <w:tc>
          <w:tcPr>
            <w:tcW w:w="2977" w:type="dxa"/>
            <w:tcBorders>
              <w:top w:val="nil"/>
              <w:left w:val="nil"/>
              <w:bottom w:val="single" w:sz="4" w:space="0" w:color="auto"/>
              <w:right w:val="single" w:sz="4" w:space="0" w:color="auto"/>
            </w:tcBorders>
            <w:shd w:val="clear" w:color="auto" w:fill="auto"/>
            <w:vAlign w:val="bottom"/>
          </w:tcPr>
          <w:p w:rsidR="00A8373C" w:rsidRDefault="00720EA4" w:rsidP="00BB3B93">
            <w:pPr>
              <w:spacing w:after="0" w:line="240" w:lineRule="auto"/>
              <w:rPr>
                <w:rFonts w:ascii="Calibri" w:hAnsi="Calibri" w:cs="Calibri"/>
                <w:color w:val="000000"/>
              </w:rPr>
            </w:pPr>
            <w:r>
              <w:rPr>
                <w:rFonts w:ascii="Calibri" w:hAnsi="Calibri" w:cs="Calibri"/>
                <w:color w:val="000000"/>
              </w:rPr>
              <w:t>«</w:t>
            </w:r>
            <w:r w:rsidR="00A8373C">
              <w:rPr>
                <w:rFonts w:ascii="Calibri" w:hAnsi="Calibri" w:cs="Calibri"/>
                <w:color w:val="000000"/>
              </w:rPr>
              <w:t>Лизинг Стандарт</w:t>
            </w:r>
            <w:r>
              <w:rPr>
                <w:rFonts w:ascii="Calibri" w:hAnsi="Calibri" w:cs="Calibri"/>
                <w:color w:val="000000"/>
              </w:rPr>
              <w:t>»</w:t>
            </w:r>
            <w:r w:rsidR="00A8373C">
              <w:rPr>
                <w:rFonts w:ascii="Calibri" w:hAnsi="Calibri" w:cs="Calibri"/>
                <w:color w:val="000000"/>
              </w:rPr>
              <w:t xml:space="preserve"> (ГК)</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865,7</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780,4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10,9</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А</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48</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46</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Межрегиональная инвестиционная компания</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853,4</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765,7</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11,5</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В++</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49</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39</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proofErr w:type="spellStart"/>
            <w:r>
              <w:rPr>
                <w:rFonts w:ascii="Calibri" w:hAnsi="Calibri" w:cs="Calibri"/>
                <w:color w:val="000000"/>
              </w:rPr>
              <w:t>БелФин</w:t>
            </w:r>
            <w:proofErr w:type="spellEnd"/>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817,4</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900,4</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-9,2</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В++</w:t>
            </w:r>
          </w:p>
        </w:tc>
      </w:tr>
      <w:tr w:rsidR="00A8373C" w:rsidRPr="00C64A89" w:rsidTr="00BB3B9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50</w:t>
            </w:r>
          </w:p>
        </w:tc>
        <w:tc>
          <w:tcPr>
            <w:tcW w:w="1134"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47</w:t>
            </w:r>
          </w:p>
        </w:tc>
        <w:tc>
          <w:tcPr>
            <w:tcW w:w="2977"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rPr>
                <w:rFonts w:ascii="Calibri" w:hAnsi="Calibri" w:cs="Calibri"/>
                <w:color w:val="000000"/>
              </w:rPr>
            </w:pPr>
            <w:r>
              <w:rPr>
                <w:rFonts w:ascii="Calibri" w:hAnsi="Calibri" w:cs="Calibri"/>
                <w:color w:val="000000"/>
              </w:rPr>
              <w:t xml:space="preserve"> </w:t>
            </w:r>
            <w:r w:rsidR="00720EA4">
              <w:rPr>
                <w:rFonts w:ascii="Calibri" w:hAnsi="Calibri" w:cs="Calibri"/>
                <w:color w:val="000000"/>
              </w:rPr>
              <w:t>«</w:t>
            </w:r>
            <w:r>
              <w:rPr>
                <w:rFonts w:ascii="Calibri" w:hAnsi="Calibri" w:cs="Calibri"/>
                <w:color w:val="000000"/>
              </w:rPr>
              <w:t>Ротор-лизинг</w:t>
            </w:r>
            <w:r w:rsidR="00720EA4">
              <w:rPr>
                <w:rFonts w:ascii="Calibri" w:hAnsi="Calibri" w:cs="Calibri"/>
                <w:color w:val="000000"/>
              </w:rPr>
              <w:t>»</w:t>
            </w:r>
          </w:p>
        </w:tc>
        <w:tc>
          <w:tcPr>
            <w:tcW w:w="1276" w:type="dxa"/>
            <w:tcBorders>
              <w:top w:val="nil"/>
              <w:left w:val="nil"/>
              <w:bottom w:val="single" w:sz="4" w:space="0" w:color="auto"/>
              <w:right w:val="single" w:sz="4" w:space="0" w:color="auto"/>
            </w:tcBorders>
            <w:shd w:val="clear" w:color="auto" w:fill="auto"/>
            <w:vAlign w:val="bottom"/>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774,0</w:t>
            </w:r>
          </w:p>
        </w:tc>
        <w:tc>
          <w:tcPr>
            <w:tcW w:w="1559"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right"/>
              <w:rPr>
                <w:rFonts w:ascii="Calibri" w:eastAsia="Times New Roman" w:hAnsi="Calibri" w:cs="Calibri"/>
                <w:color w:val="000000"/>
                <w:lang w:eastAsia="ru-RU"/>
              </w:rPr>
            </w:pPr>
            <w:r>
              <w:rPr>
                <w:rFonts w:ascii="Calibri" w:hAnsi="Calibri" w:cs="Calibri"/>
                <w:color w:val="000000"/>
              </w:rPr>
              <w:t>737,2</w:t>
            </w:r>
          </w:p>
        </w:tc>
        <w:tc>
          <w:tcPr>
            <w:tcW w:w="1134" w:type="dxa"/>
            <w:tcBorders>
              <w:top w:val="nil"/>
              <w:left w:val="nil"/>
              <w:bottom w:val="single" w:sz="4" w:space="0" w:color="auto"/>
              <w:right w:val="single" w:sz="4" w:space="0" w:color="auto"/>
            </w:tcBorders>
            <w:shd w:val="clear" w:color="auto" w:fill="auto"/>
            <w:noWrap/>
            <w:vAlign w:val="center"/>
          </w:tcPr>
          <w:p w:rsidR="00A8373C" w:rsidRDefault="00A8373C" w:rsidP="00BB3B93">
            <w:pPr>
              <w:spacing w:after="0" w:line="240" w:lineRule="auto"/>
              <w:jc w:val="right"/>
              <w:rPr>
                <w:rFonts w:ascii="Calibri" w:hAnsi="Calibri" w:cs="Calibri"/>
                <w:color w:val="000000"/>
              </w:rPr>
            </w:pPr>
            <w:r>
              <w:rPr>
                <w:rFonts w:ascii="Calibri" w:hAnsi="Calibri" w:cs="Calibri"/>
                <w:color w:val="000000"/>
              </w:rPr>
              <w:t>5,0</w:t>
            </w:r>
          </w:p>
        </w:tc>
        <w:tc>
          <w:tcPr>
            <w:tcW w:w="1417" w:type="dxa"/>
            <w:tcBorders>
              <w:top w:val="nil"/>
              <w:left w:val="nil"/>
              <w:bottom w:val="single" w:sz="4" w:space="0" w:color="auto"/>
              <w:right w:val="single" w:sz="4" w:space="0" w:color="auto"/>
            </w:tcBorders>
            <w:shd w:val="clear" w:color="auto" w:fill="auto"/>
            <w:noWrap/>
            <w:vAlign w:val="bottom"/>
          </w:tcPr>
          <w:p w:rsidR="00A8373C" w:rsidRPr="00C64A89" w:rsidRDefault="00A8373C" w:rsidP="00BB3B93">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bl>
    <w:p w:rsidR="00C14B4D" w:rsidRPr="005F1178" w:rsidRDefault="00C14B4D" w:rsidP="00C14B4D">
      <w:pPr>
        <w:jc w:val="right"/>
      </w:pPr>
      <w:r w:rsidRPr="005F1178">
        <w:t>Источник: «Эксперт РА» по данным анкет ЛК</w:t>
      </w:r>
    </w:p>
    <w:p w:rsidR="00C14B4D" w:rsidRPr="005F1178" w:rsidRDefault="00C14B4D" w:rsidP="00C14B4D">
      <w:pPr>
        <w:pStyle w:val="1"/>
      </w:pPr>
      <w:bookmarkStart w:id="11" w:name="_Toc352162052"/>
      <w:r w:rsidRPr="005F1178">
        <w:t>Господдержка: пределы роста</w:t>
      </w:r>
      <w:bookmarkEnd w:id="11"/>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Механизмы государственной поддержки кредитования МСБ столкнулись с системной проблемой: убывающей отдачей от вливания финансовых ресурсов. Все три основных канала </w:t>
      </w:r>
      <w:proofErr w:type="spellStart"/>
      <w:r w:rsidRPr="005F1178">
        <w:rPr>
          <w:rFonts w:ascii="Times New Roman" w:hAnsi="Times New Roman"/>
          <w:sz w:val="24"/>
          <w:szCs w:val="24"/>
          <w:lang w:eastAsia="ru-RU"/>
        </w:rPr>
        <w:t>госпомощи</w:t>
      </w:r>
      <w:proofErr w:type="spellEnd"/>
      <w:r w:rsidRPr="005F1178">
        <w:rPr>
          <w:rFonts w:ascii="Times New Roman" w:hAnsi="Times New Roman"/>
          <w:sz w:val="24"/>
          <w:szCs w:val="24"/>
          <w:lang w:eastAsia="ru-RU"/>
        </w:rPr>
        <w:t xml:space="preserve"> </w:t>
      </w:r>
      <w:r w:rsidR="00717194">
        <w:rPr>
          <w:rFonts w:ascii="Times New Roman" w:hAnsi="Times New Roman"/>
          <w:sz w:val="24"/>
          <w:szCs w:val="24"/>
          <w:lang w:eastAsia="ru-RU"/>
        </w:rPr>
        <w:t>–</w:t>
      </w:r>
      <w:r w:rsidRPr="005F1178">
        <w:rPr>
          <w:rFonts w:ascii="Times New Roman" w:hAnsi="Times New Roman"/>
          <w:sz w:val="24"/>
          <w:szCs w:val="24"/>
          <w:lang w:eastAsia="ru-RU"/>
        </w:rPr>
        <w:t xml:space="preserve"> МСП Банк, гарантийные фонды и МФО с государственным капиталом – встретились со структурными ограничениями.</w:t>
      </w:r>
      <w:r w:rsidR="00F15B04" w:rsidRPr="005F1178">
        <w:rPr>
          <w:rFonts w:ascii="Times New Roman" w:hAnsi="Times New Roman"/>
          <w:sz w:val="24"/>
          <w:szCs w:val="24"/>
          <w:lang w:eastAsia="ru-RU"/>
        </w:rPr>
        <w:t xml:space="preserve"> При этом уже достигнутые объемы – порядка 2-3% рынка – на рынок кредитования МСБ серьезного влияния не оказывают.</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Сила и слабость портфеля МСП Банка заключается в его ориентации на «провалы рынка» </w:t>
      </w:r>
      <w:r w:rsidR="00597610">
        <w:rPr>
          <w:rFonts w:ascii="Times New Roman" w:hAnsi="Times New Roman"/>
          <w:sz w:val="24"/>
          <w:szCs w:val="24"/>
          <w:lang w:eastAsia="ru-RU"/>
        </w:rPr>
        <w:t>–</w:t>
      </w:r>
      <w:r w:rsidRPr="005F1178">
        <w:rPr>
          <w:rFonts w:ascii="Times New Roman" w:hAnsi="Times New Roman"/>
          <w:sz w:val="24"/>
          <w:szCs w:val="24"/>
          <w:lang w:eastAsia="ru-RU"/>
        </w:rPr>
        <w:t xml:space="preserve"> кредитование производств, в первую очередь инновационных либо осуществляющих инновационные проекты. Сила как раз в том, что такие кредиты зачастую банкам за счет своих средств в условиях дорогого фондирования кредитовать неинтересно, и МСП Банк здесь активно способствует модернизации. Слабость </w:t>
      </w:r>
      <w:r w:rsidR="00A97DD8">
        <w:rPr>
          <w:rFonts w:ascii="Times New Roman" w:hAnsi="Times New Roman"/>
          <w:sz w:val="24"/>
          <w:szCs w:val="24"/>
          <w:lang w:eastAsia="ru-RU"/>
        </w:rPr>
        <w:t>заключается</w:t>
      </w:r>
      <w:r w:rsidRPr="005F1178">
        <w:rPr>
          <w:rFonts w:ascii="Times New Roman" w:hAnsi="Times New Roman"/>
          <w:sz w:val="24"/>
          <w:szCs w:val="24"/>
          <w:lang w:eastAsia="ru-RU"/>
        </w:rPr>
        <w:t xml:space="preserve"> в том, что таких проектов, к сожалению, не так много. Опрошенные «Эксперт</w:t>
      </w:r>
      <w:r w:rsidR="00A97DD8">
        <w:rPr>
          <w:rFonts w:ascii="Times New Roman" w:hAnsi="Times New Roman"/>
          <w:sz w:val="24"/>
          <w:szCs w:val="24"/>
          <w:lang w:eastAsia="ru-RU"/>
        </w:rPr>
        <w:t>ом</w:t>
      </w:r>
      <w:r w:rsidRPr="005F1178">
        <w:rPr>
          <w:rFonts w:ascii="Times New Roman" w:hAnsi="Times New Roman"/>
          <w:sz w:val="24"/>
          <w:szCs w:val="24"/>
          <w:lang w:eastAsia="ru-RU"/>
        </w:rPr>
        <w:t xml:space="preserve"> РА» банки не смогли указать сколько-нибудь существенные объемы инновационного кредитования. Это приводит к тому, что портфель МСП Банка растет в среднем на уровне общего роста рынка кредитования МСБ. Одной из новых «фишек» призвано стать разделение кредитных рисков между банками и МСП Банком. Сделано это будет в формате совместного кредитования субъектов МСБ, когда часть ссуды будет выдаваться непосредственно с баланса МСП Банка. Это должно простимулировать рост кредитной активности банков в инновационном сегменте рынка. Есть и сложности – опыт МСП Банка по оценке кредитоспособности заемщиков ограничен</w:t>
      </w:r>
      <w:r w:rsidR="00A97DD8">
        <w:rPr>
          <w:rFonts w:ascii="Times New Roman" w:hAnsi="Times New Roman"/>
          <w:sz w:val="24"/>
          <w:szCs w:val="24"/>
          <w:lang w:eastAsia="ru-RU"/>
        </w:rPr>
        <w:t>,</w:t>
      </w:r>
      <w:r w:rsidRPr="005F1178">
        <w:rPr>
          <w:rFonts w:ascii="Times New Roman" w:hAnsi="Times New Roman"/>
          <w:sz w:val="24"/>
          <w:szCs w:val="24"/>
          <w:lang w:eastAsia="ru-RU"/>
        </w:rPr>
        <w:t xml:space="preserve"> на первых порах потребуются значительные инвестиции в бизнес-процессы и инфраструктуру. Выход МСП Банка на поле разделения рисков (традиционное для гарантийных фондов) – одна из первоочередных задач для преодоления структурных ограничений двухуровневой модели финансирования кредитования МСБ.</w:t>
      </w:r>
    </w:p>
    <w:p w:rsidR="00C14B4D" w:rsidRPr="005F1178" w:rsidRDefault="006609CF"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noProof/>
          <w:sz w:val="24"/>
          <w:szCs w:val="24"/>
          <w:lang w:eastAsia="ru-RU"/>
        </w:rPr>
        <w:lastRenderedPageBreak/>
        <mc:AlternateContent>
          <mc:Choice Requires="wps">
            <w:drawing>
              <wp:anchor distT="0" distB="0" distL="114300" distR="114300" simplePos="0" relativeHeight="251665408" behindDoc="1" locked="0" layoutInCell="1" allowOverlap="1" wp14:anchorId="1CFDC36B" wp14:editId="4E3EA4CE">
                <wp:simplePos x="0" y="0"/>
                <wp:positionH relativeFrom="column">
                  <wp:posOffset>3206115</wp:posOffset>
                </wp:positionH>
                <wp:positionV relativeFrom="paragraph">
                  <wp:posOffset>1657350</wp:posOffset>
                </wp:positionV>
                <wp:extent cx="2678430" cy="2150110"/>
                <wp:effectExtent l="0" t="0" r="7620" b="2540"/>
                <wp:wrapTight wrapText="bothSides">
                  <wp:wrapPolygon edited="0">
                    <wp:start x="0" y="0"/>
                    <wp:lineTo x="0" y="21434"/>
                    <wp:lineTo x="21508" y="21434"/>
                    <wp:lineTo x="21508" y="0"/>
                    <wp:lineTo x="0" y="0"/>
                  </wp:wrapPolygon>
                </wp:wrapTight>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21501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B46" w:rsidRPr="00EB270A" w:rsidRDefault="00925B46" w:rsidP="006609CF">
                            <w:pPr>
                              <w:jc w:val="both"/>
                              <w:rPr>
                                <w:rFonts w:ascii="Times New Roman" w:hAnsi="Times New Roman" w:cs="Times New Roman"/>
                                <w:sz w:val="24"/>
                                <w:szCs w:val="24"/>
                              </w:rPr>
                            </w:pPr>
                            <w:r w:rsidRPr="00EB270A">
                              <w:rPr>
                                <w:rFonts w:ascii="Times New Roman" w:hAnsi="Times New Roman" w:cs="Times New Roman"/>
                                <w:b/>
                                <w:sz w:val="24"/>
                                <w:szCs w:val="24"/>
                              </w:rPr>
                              <w:t xml:space="preserve">Андрей Петров </w:t>
                            </w:r>
                            <w:r w:rsidRPr="00EB270A">
                              <w:rPr>
                                <w:rFonts w:ascii="Times New Roman" w:hAnsi="Times New Roman" w:cs="Times New Roman"/>
                                <w:sz w:val="24"/>
                                <w:szCs w:val="24"/>
                              </w:rPr>
                              <w:t>о роли государства: «…нужно продолжать совершенствовать и развивать механизмы поддержки не финансового характера</w:t>
                            </w:r>
                            <w:r>
                              <w:rPr>
                                <w:rFonts w:ascii="Times New Roman" w:hAnsi="Times New Roman" w:cs="Times New Roman"/>
                                <w:sz w:val="24"/>
                                <w:szCs w:val="24"/>
                              </w:rPr>
                              <w:t>, а</w:t>
                            </w:r>
                            <w:r w:rsidRPr="00EB270A">
                              <w:rPr>
                                <w:rFonts w:ascii="Times New Roman" w:hAnsi="Times New Roman" w:cs="Times New Roman"/>
                                <w:sz w:val="24"/>
                                <w:szCs w:val="24"/>
                              </w:rPr>
                              <w:t xml:space="preserve"> процедурного и информационно-просветительского характера, направленного на формирование и развитие благоприятной предпринимательской среды»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0" type="#_x0000_t202" style="position:absolute;left:0;text-align:left;margin-left:252.45pt;margin-top:130.5pt;width:210.9pt;height:16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" fillcolor="silver" stroked="f">
                <v:textbox>
                  <w:txbxContent>
                    <w:p w:rsidR="00925B46" w:rsidRPr="00EB270A" w:rsidRDefault="00925B46" w:rsidP="006609CF">
                      <w:pPr>
                        <w:jc w:val="both"/>
                        <w:rPr>
                          <w:rFonts w:ascii="Times New Roman" w:hAnsi="Times New Roman" w:cs="Times New Roman"/>
                          <w:sz w:val="24"/>
                          <w:szCs w:val="24"/>
                        </w:rPr>
                      </w:pPr>
                      <w:r w:rsidRPr="00EB270A">
                        <w:rPr>
                          <w:rFonts w:ascii="Times New Roman" w:hAnsi="Times New Roman" w:cs="Times New Roman"/>
                          <w:b/>
                          <w:sz w:val="24"/>
                          <w:szCs w:val="24"/>
                        </w:rPr>
                        <w:t xml:space="preserve">Андрей Петров </w:t>
                      </w:r>
                      <w:r w:rsidRPr="00EB270A">
                        <w:rPr>
                          <w:rFonts w:ascii="Times New Roman" w:hAnsi="Times New Roman" w:cs="Times New Roman"/>
                          <w:sz w:val="24"/>
                          <w:szCs w:val="24"/>
                        </w:rPr>
                        <w:t>о роли государства: «…нужно продолжать совершенствовать и развивать механизмы поддержки не финансового характера</w:t>
                      </w:r>
                      <w:r>
                        <w:rPr>
                          <w:rFonts w:ascii="Times New Roman" w:hAnsi="Times New Roman" w:cs="Times New Roman"/>
                          <w:sz w:val="24"/>
                          <w:szCs w:val="24"/>
                        </w:rPr>
                        <w:t>, а</w:t>
                      </w:r>
                      <w:r w:rsidRPr="00EB270A">
                        <w:rPr>
                          <w:rFonts w:ascii="Times New Roman" w:hAnsi="Times New Roman" w:cs="Times New Roman"/>
                          <w:sz w:val="24"/>
                          <w:szCs w:val="24"/>
                        </w:rPr>
                        <w:t xml:space="preserve"> процедурного и информационно-просветительского характера, направленного на формирование и развитие благоприятной предпринимательской среды»</w:t>
                      </w:r>
                    </w:p>
                  </w:txbxContent>
                </v:textbox>
                <w10:wrap type="tight"/>
              </v:shape>
            </w:pict>
          </mc:Fallback>
        </mc:AlternateContent>
      </w:r>
      <w:r w:rsidR="00C14B4D" w:rsidRPr="005F1178">
        <w:rPr>
          <w:rFonts w:ascii="Times New Roman" w:hAnsi="Times New Roman"/>
          <w:sz w:val="24"/>
          <w:szCs w:val="24"/>
          <w:lang w:eastAsia="ru-RU"/>
        </w:rPr>
        <w:t>Гарантийные фонды во многих регионах поставлены в ситуацию низкой диверсификации гарантийного портфеля по банкам. Круг местных кредитных организаций, работающих с МСБ и готовых взаимодействовать с фондами, достаточно узок, в то же время фондам нужно активно раздавать гарантии – в этом их предназначение. В итоге фонд ставится в зависимость от кредитной политики нескольких банков и</w:t>
      </w:r>
      <w:r w:rsidR="001B79F8">
        <w:rPr>
          <w:rFonts w:ascii="Times New Roman" w:hAnsi="Times New Roman"/>
          <w:sz w:val="24"/>
          <w:szCs w:val="24"/>
          <w:lang w:eastAsia="ru-RU"/>
        </w:rPr>
        <w:t>,</w:t>
      </w:r>
      <w:r w:rsidR="00C14B4D" w:rsidRPr="005F1178">
        <w:rPr>
          <w:rFonts w:ascii="Times New Roman" w:hAnsi="Times New Roman"/>
          <w:sz w:val="24"/>
          <w:szCs w:val="24"/>
          <w:lang w:eastAsia="ru-RU"/>
        </w:rPr>
        <w:t xml:space="preserve"> если она не совсем адекватна, несет повышенные риски. Более того, некоторые банки активно пользуются проблемой </w:t>
      </w:r>
      <w:proofErr w:type="spellStart"/>
      <w:r w:rsidR="00C14B4D" w:rsidRPr="005F1178">
        <w:rPr>
          <w:rFonts w:ascii="Times New Roman" w:hAnsi="Times New Roman"/>
          <w:sz w:val="24"/>
          <w:szCs w:val="24"/>
          <w:lang w:eastAsia="ru-RU"/>
        </w:rPr>
        <w:t>moral</w:t>
      </w:r>
      <w:proofErr w:type="spellEnd"/>
      <w:r w:rsidR="00C14B4D" w:rsidRPr="005F1178">
        <w:rPr>
          <w:rFonts w:ascii="Times New Roman" w:hAnsi="Times New Roman"/>
          <w:sz w:val="24"/>
          <w:szCs w:val="24"/>
          <w:lang w:eastAsia="ru-RU"/>
        </w:rPr>
        <w:t xml:space="preserve"> </w:t>
      </w:r>
      <w:proofErr w:type="spellStart"/>
      <w:r w:rsidR="00C14B4D" w:rsidRPr="005F1178">
        <w:rPr>
          <w:rFonts w:ascii="Times New Roman" w:hAnsi="Times New Roman"/>
          <w:sz w:val="24"/>
          <w:szCs w:val="24"/>
          <w:lang w:eastAsia="ru-RU"/>
        </w:rPr>
        <w:t>hazard</w:t>
      </w:r>
      <w:proofErr w:type="spellEnd"/>
      <w:r w:rsidR="00F143A7" w:rsidRPr="005F1178">
        <w:rPr>
          <w:rStyle w:val="ad"/>
          <w:rFonts w:ascii="Times New Roman" w:hAnsi="Times New Roman"/>
          <w:sz w:val="24"/>
          <w:szCs w:val="24"/>
          <w:lang w:eastAsia="ru-RU"/>
        </w:rPr>
        <w:footnoteReference w:id="3"/>
      </w:r>
      <w:r w:rsidR="00C14B4D" w:rsidRPr="005F1178">
        <w:rPr>
          <w:rFonts w:ascii="Times New Roman" w:hAnsi="Times New Roman"/>
          <w:sz w:val="24"/>
          <w:szCs w:val="24"/>
          <w:lang w:eastAsia="ru-RU"/>
        </w:rPr>
        <w:t xml:space="preserve"> и «сливают» фондам заемщиков с повышенными рисками. Как следствие, некоторые гарантийные фонды фактически используются банками для улучшения </w:t>
      </w:r>
      <w:proofErr w:type="gramStart"/>
      <w:r w:rsidR="00C14B4D" w:rsidRPr="005F1178">
        <w:rPr>
          <w:rFonts w:ascii="Times New Roman" w:hAnsi="Times New Roman"/>
          <w:sz w:val="24"/>
          <w:szCs w:val="24"/>
          <w:lang w:eastAsia="ru-RU"/>
        </w:rPr>
        <w:t>своих</w:t>
      </w:r>
      <w:proofErr w:type="gramEnd"/>
      <w:r w:rsidR="00C14B4D" w:rsidRPr="005F1178">
        <w:rPr>
          <w:rFonts w:ascii="Times New Roman" w:hAnsi="Times New Roman"/>
          <w:sz w:val="24"/>
          <w:szCs w:val="24"/>
          <w:lang w:eastAsia="ru-RU"/>
        </w:rPr>
        <w:t xml:space="preserve"> риск-профилей.</w:t>
      </w:r>
      <w:r w:rsidR="003631A5">
        <w:rPr>
          <w:rFonts w:ascii="Times New Roman" w:hAnsi="Times New Roman"/>
          <w:sz w:val="24"/>
          <w:szCs w:val="24"/>
          <w:lang w:eastAsia="ru-RU"/>
        </w:rPr>
        <w:t xml:space="preserve"> Способ борьбы </w:t>
      </w:r>
      <w:r w:rsidR="00C14B4D" w:rsidRPr="005F1178">
        <w:rPr>
          <w:rFonts w:ascii="Times New Roman" w:hAnsi="Times New Roman"/>
          <w:sz w:val="24"/>
          <w:szCs w:val="24"/>
          <w:lang w:eastAsia="ru-RU"/>
        </w:rPr>
        <w:t xml:space="preserve">– требование права перехода залога от банка фонду по дефолтному заемщику </w:t>
      </w:r>
      <w:r w:rsidR="001B79F8">
        <w:rPr>
          <w:rFonts w:ascii="Times New Roman" w:hAnsi="Times New Roman"/>
          <w:sz w:val="24"/>
          <w:szCs w:val="24"/>
          <w:lang w:eastAsia="ru-RU"/>
        </w:rPr>
        <w:t xml:space="preserve">– </w:t>
      </w:r>
      <w:r w:rsidR="00C14B4D" w:rsidRPr="005F1178">
        <w:rPr>
          <w:rFonts w:ascii="Times New Roman" w:hAnsi="Times New Roman"/>
          <w:sz w:val="24"/>
          <w:szCs w:val="24"/>
          <w:lang w:eastAsia="ru-RU"/>
        </w:rPr>
        <w:t xml:space="preserve"> сильно ограничивает круг потенциальных клиентов фондов. При этом задача стимулирования кредитования МСБ, стоящая перед фондами, выполняется не полностью. Региональные ограничения приводят к тому, что местные власти вынуждены «навешивать» на гарантийные фонды множество других задач, в частности микрофинансирование, проведение всевозможных выставок, конференций и т.</w:t>
      </w:r>
      <w:r w:rsidR="001B79F8">
        <w:rPr>
          <w:rFonts w:ascii="Times New Roman" w:hAnsi="Times New Roman"/>
          <w:sz w:val="24"/>
          <w:szCs w:val="24"/>
          <w:lang w:eastAsia="ru-RU"/>
        </w:rPr>
        <w:t xml:space="preserve"> </w:t>
      </w:r>
      <w:r w:rsidR="00C14B4D" w:rsidRPr="005F1178">
        <w:rPr>
          <w:rFonts w:ascii="Times New Roman" w:hAnsi="Times New Roman"/>
          <w:sz w:val="24"/>
          <w:szCs w:val="24"/>
          <w:lang w:eastAsia="ru-RU"/>
        </w:rPr>
        <w:t xml:space="preserve">д. </w:t>
      </w:r>
      <w:r w:rsidR="008D177B" w:rsidRPr="005F1178">
        <w:rPr>
          <w:rFonts w:ascii="Times New Roman" w:hAnsi="Times New Roman"/>
          <w:sz w:val="24"/>
          <w:szCs w:val="24"/>
          <w:lang w:eastAsia="ru-RU"/>
        </w:rPr>
        <w:t>Простого р</w:t>
      </w:r>
      <w:r w:rsidR="00C14B4D" w:rsidRPr="005F1178">
        <w:rPr>
          <w:rFonts w:ascii="Times New Roman" w:hAnsi="Times New Roman"/>
          <w:sz w:val="24"/>
          <w:szCs w:val="24"/>
          <w:lang w:eastAsia="ru-RU"/>
        </w:rPr>
        <w:t>е</w:t>
      </w:r>
      <w:r w:rsidR="008D177B" w:rsidRPr="005F1178">
        <w:rPr>
          <w:rFonts w:ascii="Times New Roman" w:hAnsi="Times New Roman"/>
          <w:sz w:val="24"/>
          <w:szCs w:val="24"/>
          <w:lang w:eastAsia="ru-RU"/>
        </w:rPr>
        <w:t>цепта</w:t>
      </w:r>
      <w:r w:rsidR="00C14B4D" w:rsidRPr="005F1178">
        <w:rPr>
          <w:rFonts w:ascii="Times New Roman" w:hAnsi="Times New Roman"/>
          <w:sz w:val="24"/>
          <w:szCs w:val="24"/>
          <w:lang w:eastAsia="ru-RU"/>
        </w:rPr>
        <w:t xml:space="preserve"> </w:t>
      </w:r>
      <w:r w:rsidR="005F1178" w:rsidRPr="005F1178">
        <w:rPr>
          <w:rFonts w:ascii="Times New Roman" w:hAnsi="Times New Roman"/>
          <w:sz w:val="24"/>
          <w:szCs w:val="24"/>
          <w:lang w:eastAsia="ru-RU"/>
        </w:rPr>
        <w:t xml:space="preserve">«улучшения» </w:t>
      </w:r>
      <w:r w:rsidR="00C14B4D" w:rsidRPr="005F1178">
        <w:rPr>
          <w:rFonts w:ascii="Times New Roman" w:hAnsi="Times New Roman"/>
          <w:sz w:val="24"/>
          <w:szCs w:val="24"/>
          <w:lang w:eastAsia="ru-RU"/>
        </w:rPr>
        <w:t xml:space="preserve">здесь не существует. Гарантийные фонды в регионах с небольшим набором банков </w:t>
      </w:r>
      <w:r w:rsidR="001B79F8">
        <w:rPr>
          <w:rFonts w:ascii="Times New Roman" w:hAnsi="Times New Roman"/>
          <w:sz w:val="24"/>
          <w:szCs w:val="24"/>
          <w:lang w:eastAsia="ru-RU"/>
        </w:rPr>
        <w:t>–</w:t>
      </w:r>
      <w:r w:rsidR="00C14B4D" w:rsidRPr="005F1178">
        <w:rPr>
          <w:rFonts w:ascii="Times New Roman" w:hAnsi="Times New Roman"/>
          <w:sz w:val="24"/>
          <w:szCs w:val="24"/>
          <w:lang w:eastAsia="ru-RU"/>
        </w:rPr>
        <w:t xml:space="preserve"> фактически заложники слабого развития кредитования МСБ. Зато при развитии рынка кредитования в целом они смогут обеспечить значительный мультипликативный эффект.</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Сегмент </w:t>
      </w:r>
      <w:r w:rsidR="00E32B15" w:rsidRPr="005F1178">
        <w:rPr>
          <w:rFonts w:ascii="Times New Roman" w:hAnsi="Times New Roman"/>
          <w:sz w:val="24"/>
          <w:szCs w:val="24"/>
          <w:lang w:eastAsia="ru-RU"/>
        </w:rPr>
        <w:t xml:space="preserve">государственных </w:t>
      </w:r>
      <w:r w:rsidRPr="005F1178">
        <w:rPr>
          <w:rFonts w:ascii="Times New Roman" w:hAnsi="Times New Roman"/>
          <w:sz w:val="24"/>
          <w:szCs w:val="24"/>
          <w:lang w:eastAsia="ru-RU"/>
        </w:rPr>
        <w:t>МФО близок к стагнации из-за жестких ограничений приказа МЭР №</w:t>
      </w:r>
      <w:r w:rsidR="001B79F8">
        <w:rPr>
          <w:rFonts w:ascii="Times New Roman" w:hAnsi="Times New Roman"/>
          <w:sz w:val="24"/>
          <w:szCs w:val="24"/>
          <w:lang w:eastAsia="ru-RU"/>
        </w:rPr>
        <w:t xml:space="preserve"> </w:t>
      </w:r>
      <w:r w:rsidRPr="005F1178">
        <w:rPr>
          <w:rFonts w:ascii="Times New Roman" w:hAnsi="Times New Roman"/>
          <w:sz w:val="24"/>
          <w:szCs w:val="24"/>
          <w:lang w:eastAsia="ru-RU"/>
        </w:rPr>
        <w:t xml:space="preserve">223. МФО с государственным финансированием могут принимать на себя только очень небольшие риски. Из-за этого они вынуждены работать на очень специфическом сегменте рынка кредитования малого бизнеса. Приказ </w:t>
      </w:r>
      <w:r w:rsidR="001B79F8">
        <w:rPr>
          <w:rFonts w:ascii="Times New Roman" w:hAnsi="Times New Roman"/>
          <w:sz w:val="24"/>
          <w:szCs w:val="24"/>
          <w:lang w:eastAsia="ru-RU"/>
        </w:rPr>
        <w:t xml:space="preserve">№ </w:t>
      </w:r>
      <w:r w:rsidRPr="005F1178">
        <w:rPr>
          <w:rFonts w:ascii="Times New Roman" w:hAnsi="Times New Roman"/>
          <w:sz w:val="24"/>
          <w:szCs w:val="24"/>
          <w:lang w:eastAsia="ru-RU"/>
        </w:rPr>
        <w:t>223 МЭР, в частности, требует от них маржи не более 10%, срок</w:t>
      </w:r>
      <w:r w:rsidR="001B79F8">
        <w:rPr>
          <w:rFonts w:ascii="Times New Roman" w:hAnsi="Times New Roman"/>
          <w:sz w:val="24"/>
          <w:szCs w:val="24"/>
          <w:lang w:eastAsia="ru-RU"/>
        </w:rPr>
        <w:t>а</w:t>
      </w:r>
      <w:r w:rsidRPr="005F1178">
        <w:rPr>
          <w:rFonts w:ascii="Times New Roman" w:hAnsi="Times New Roman"/>
          <w:sz w:val="24"/>
          <w:szCs w:val="24"/>
          <w:lang w:eastAsia="ru-RU"/>
        </w:rPr>
        <w:t xml:space="preserve"> кредитования до 12 месяцев и средн</w:t>
      </w:r>
      <w:r w:rsidR="001B79F8">
        <w:rPr>
          <w:rFonts w:ascii="Times New Roman" w:hAnsi="Times New Roman"/>
          <w:sz w:val="24"/>
          <w:szCs w:val="24"/>
          <w:lang w:eastAsia="ru-RU"/>
        </w:rPr>
        <w:t>его</w:t>
      </w:r>
      <w:r w:rsidRPr="005F1178">
        <w:rPr>
          <w:rFonts w:ascii="Times New Roman" w:hAnsi="Times New Roman"/>
          <w:sz w:val="24"/>
          <w:szCs w:val="24"/>
          <w:lang w:eastAsia="ru-RU"/>
        </w:rPr>
        <w:t xml:space="preserve"> размер</w:t>
      </w:r>
      <w:r w:rsidR="001B79F8">
        <w:rPr>
          <w:rFonts w:ascii="Times New Roman" w:hAnsi="Times New Roman"/>
          <w:sz w:val="24"/>
          <w:szCs w:val="24"/>
          <w:lang w:eastAsia="ru-RU"/>
        </w:rPr>
        <w:t>а</w:t>
      </w:r>
      <w:r w:rsidRPr="005F1178">
        <w:rPr>
          <w:rFonts w:ascii="Times New Roman" w:hAnsi="Times New Roman"/>
          <w:sz w:val="24"/>
          <w:szCs w:val="24"/>
          <w:lang w:eastAsia="ru-RU"/>
        </w:rPr>
        <w:t xml:space="preserve"> займа менее 700 тыс. руб</w:t>
      </w:r>
      <w:r w:rsidR="001B79F8">
        <w:rPr>
          <w:rFonts w:ascii="Times New Roman" w:hAnsi="Times New Roman"/>
          <w:sz w:val="24"/>
          <w:szCs w:val="24"/>
          <w:lang w:eastAsia="ru-RU"/>
        </w:rPr>
        <w:t>лей</w:t>
      </w:r>
      <w:r w:rsidRPr="005F1178">
        <w:rPr>
          <w:rFonts w:ascii="Times New Roman" w:hAnsi="Times New Roman"/>
          <w:sz w:val="24"/>
          <w:szCs w:val="24"/>
          <w:lang w:eastAsia="ru-RU"/>
        </w:rPr>
        <w:t>. Пул качественных заемщиков, потребности которых подходили бы под эти требования, крайне мал. Более того, значительная часть МФО столкнулась с тем, что такие заемщики на их региональных рынках закончились: либо они уже охвачены программой, либо перешли в местные банки, активно развивающие программы микрокредитования. В итоге МФО вынуждены лавировать между требованиями к портфелю и необходимостью освоения бюджетных средств.</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Некоторые МФО вынуждены были для роста портфеля пойти на нарушения, связанные с возможностью широкой трактовки 223 приказа. В частности, на рынке распространилась </w:t>
      </w:r>
      <w:proofErr w:type="spellStart"/>
      <w:r w:rsidRPr="005F1178">
        <w:rPr>
          <w:rFonts w:ascii="Times New Roman" w:hAnsi="Times New Roman"/>
          <w:sz w:val="24"/>
          <w:szCs w:val="24"/>
          <w:lang w:eastAsia="ru-RU"/>
        </w:rPr>
        <w:t>перекредитовка</w:t>
      </w:r>
      <w:proofErr w:type="spellEnd"/>
      <w:r w:rsidRPr="005F1178">
        <w:rPr>
          <w:rFonts w:ascii="Times New Roman" w:hAnsi="Times New Roman"/>
          <w:sz w:val="24"/>
          <w:szCs w:val="24"/>
          <w:lang w:eastAsia="ru-RU"/>
        </w:rPr>
        <w:t xml:space="preserve"> – как средство для выдачи </w:t>
      </w:r>
      <w:r w:rsidR="006C7E33">
        <w:rPr>
          <w:rFonts w:ascii="Times New Roman" w:hAnsi="Times New Roman"/>
          <w:sz w:val="24"/>
          <w:szCs w:val="24"/>
          <w:lang w:eastAsia="ru-RU"/>
        </w:rPr>
        <w:t>«</w:t>
      </w:r>
      <w:r w:rsidRPr="005F1178">
        <w:rPr>
          <w:rFonts w:ascii="Times New Roman" w:hAnsi="Times New Roman"/>
          <w:sz w:val="24"/>
          <w:szCs w:val="24"/>
          <w:lang w:eastAsia="ru-RU"/>
        </w:rPr>
        <w:t>длинных</w:t>
      </w:r>
      <w:r w:rsidR="006C7E33">
        <w:rPr>
          <w:rFonts w:ascii="Times New Roman" w:hAnsi="Times New Roman"/>
          <w:sz w:val="24"/>
          <w:szCs w:val="24"/>
          <w:lang w:eastAsia="ru-RU"/>
        </w:rPr>
        <w:t>»</w:t>
      </w:r>
      <w:r w:rsidRPr="005F1178">
        <w:rPr>
          <w:rFonts w:ascii="Times New Roman" w:hAnsi="Times New Roman"/>
          <w:sz w:val="24"/>
          <w:szCs w:val="24"/>
          <w:lang w:eastAsia="ru-RU"/>
        </w:rPr>
        <w:t xml:space="preserve"> займов, предоставление займов аффилированным лицам – как средство для обхода требования по среднему размеру займа. Отраслевая диверсификация многих МФО также приказу </w:t>
      </w:r>
      <w:r w:rsidR="006C7E33">
        <w:rPr>
          <w:rFonts w:ascii="Times New Roman" w:hAnsi="Times New Roman"/>
          <w:sz w:val="24"/>
          <w:szCs w:val="24"/>
          <w:lang w:eastAsia="ru-RU"/>
        </w:rPr>
        <w:t xml:space="preserve">№ </w:t>
      </w:r>
      <w:r w:rsidRPr="005F1178">
        <w:rPr>
          <w:rFonts w:ascii="Times New Roman" w:hAnsi="Times New Roman"/>
          <w:sz w:val="24"/>
          <w:szCs w:val="24"/>
          <w:lang w:eastAsia="ru-RU"/>
        </w:rPr>
        <w:t xml:space="preserve">223 МЭР не удовлетворяет. Рецептом поддержки рынка </w:t>
      </w:r>
      <w:proofErr w:type="spellStart"/>
      <w:r w:rsidRPr="005F1178">
        <w:rPr>
          <w:rFonts w:ascii="Times New Roman" w:hAnsi="Times New Roman"/>
          <w:sz w:val="24"/>
          <w:szCs w:val="24"/>
          <w:lang w:eastAsia="ru-RU"/>
        </w:rPr>
        <w:t>госМФО</w:t>
      </w:r>
      <w:proofErr w:type="spellEnd"/>
      <w:r w:rsidRPr="005F1178">
        <w:rPr>
          <w:rFonts w:ascii="Times New Roman" w:hAnsi="Times New Roman"/>
          <w:sz w:val="24"/>
          <w:szCs w:val="24"/>
          <w:lang w:eastAsia="ru-RU"/>
        </w:rPr>
        <w:t xml:space="preserve"> могло бы стать ослабление требований 223 приказа как в части срочности портфеля займов, так и в части среднего размера займов. Но такое ослабление должно идти рука об руку с ужесточением по </w:t>
      </w:r>
      <w:r w:rsidRPr="005F1178">
        <w:rPr>
          <w:rFonts w:ascii="Times New Roman" w:hAnsi="Times New Roman"/>
          <w:sz w:val="24"/>
          <w:szCs w:val="24"/>
          <w:lang w:eastAsia="ru-RU"/>
        </w:rPr>
        <w:lastRenderedPageBreak/>
        <w:t xml:space="preserve">другим направлениям. В частности, необходимо внедрение стандартов </w:t>
      </w:r>
      <w:proofErr w:type="gramStart"/>
      <w:r w:rsidRPr="005F1178">
        <w:rPr>
          <w:rFonts w:ascii="Times New Roman" w:hAnsi="Times New Roman"/>
          <w:sz w:val="24"/>
          <w:szCs w:val="24"/>
          <w:lang w:eastAsia="ru-RU"/>
        </w:rPr>
        <w:t>риск-менеджмента</w:t>
      </w:r>
      <w:proofErr w:type="gramEnd"/>
      <w:r w:rsidRPr="005F1178">
        <w:rPr>
          <w:rFonts w:ascii="Times New Roman" w:hAnsi="Times New Roman"/>
          <w:sz w:val="24"/>
          <w:szCs w:val="24"/>
          <w:lang w:eastAsia="ru-RU"/>
        </w:rPr>
        <w:t xml:space="preserve">, разработка четких систем мотивации руководства и широкое распространение внешней независимой оценки деятельности МФО </w:t>
      </w:r>
      <w:r w:rsidR="004B4DA4">
        <w:rPr>
          <w:rFonts w:ascii="Times New Roman" w:hAnsi="Times New Roman"/>
          <w:sz w:val="24"/>
          <w:szCs w:val="24"/>
          <w:lang w:eastAsia="ru-RU"/>
        </w:rPr>
        <w:t>(</w:t>
      </w:r>
      <w:r w:rsidRPr="005F1178">
        <w:rPr>
          <w:rFonts w:ascii="Times New Roman" w:hAnsi="Times New Roman"/>
          <w:sz w:val="24"/>
          <w:szCs w:val="24"/>
          <w:lang w:eastAsia="ru-RU"/>
        </w:rPr>
        <w:t xml:space="preserve">например, через </w:t>
      </w:r>
      <w:proofErr w:type="spellStart"/>
      <w:r w:rsidRPr="005F1178">
        <w:rPr>
          <w:rFonts w:ascii="Times New Roman" w:hAnsi="Times New Roman"/>
          <w:sz w:val="24"/>
          <w:szCs w:val="24"/>
          <w:lang w:eastAsia="ru-RU"/>
        </w:rPr>
        <w:t>рейтингование</w:t>
      </w:r>
      <w:proofErr w:type="spellEnd"/>
      <w:r w:rsidR="004B4DA4">
        <w:rPr>
          <w:rFonts w:ascii="Times New Roman" w:hAnsi="Times New Roman"/>
          <w:sz w:val="24"/>
          <w:szCs w:val="24"/>
          <w:lang w:eastAsia="ru-RU"/>
        </w:rPr>
        <w:t>)</w:t>
      </w:r>
      <w:r w:rsidRPr="005F1178">
        <w:rPr>
          <w:rFonts w:ascii="Times New Roman" w:hAnsi="Times New Roman"/>
          <w:sz w:val="24"/>
          <w:szCs w:val="24"/>
          <w:lang w:eastAsia="ru-RU"/>
        </w:rPr>
        <w:t xml:space="preserve">. </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Экстенсивное увеличение объемов господдержки кредитования МСБ должно идти вместе</w:t>
      </w:r>
      <w:r w:rsidR="004B4DA4">
        <w:rPr>
          <w:rFonts w:ascii="Times New Roman" w:hAnsi="Times New Roman"/>
          <w:sz w:val="24"/>
          <w:szCs w:val="24"/>
          <w:lang w:eastAsia="ru-RU"/>
        </w:rPr>
        <w:t xml:space="preserve"> с</w:t>
      </w:r>
      <w:r w:rsidRPr="005F1178">
        <w:rPr>
          <w:rFonts w:ascii="Times New Roman" w:hAnsi="Times New Roman"/>
          <w:sz w:val="24"/>
          <w:szCs w:val="24"/>
          <w:lang w:eastAsia="ru-RU"/>
        </w:rPr>
        <w:t xml:space="preserve"> преодолением структурных проблем. Необходимо внедрение отраслевых стандартов работы институтов, через которые осуществляются вливания средств и изменение законодательства под фактически сложившиеся условия работы на рынке.</w:t>
      </w:r>
    </w:p>
    <w:p w:rsidR="00C14B4D" w:rsidRPr="005F1178" w:rsidRDefault="00C14B4D" w:rsidP="00C14B4D">
      <w:pPr>
        <w:pStyle w:val="1"/>
      </w:pPr>
      <w:bookmarkStart w:id="12" w:name="_Toc352162053"/>
      <w:r w:rsidRPr="005F1178">
        <w:t>Прогноз умеренно позитивный</w:t>
      </w:r>
      <w:bookmarkEnd w:id="12"/>
    </w:p>
    <w:p w:rsidR="00D612E7"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«Эксперт РА» ожидает роста портфе</w:t>
      </w:r>
      <w:r w:rsidR="00F15B04" w:rsidRPr="005F1178">
        <w:rPr>
          <w:rFonts w:ascii="Times New Roman" w:hAnsi="Times New Roman"/>
          <w:sz w:val="24"/>
          <w:szCs w:val="24"/>
          <w:lang w:eastAsia="ru-RU"/>
        </w:rPr>
        <w:t>лей МСБ в 2013 году на уровне 15-17</w:t>
      </w:r>
      <w:r w:rsidRPr="005F1178">
        <w:rPr>
          <w:rFonts w:ascii="Times New Roman" w:hAnsi="Times New Roman"/>
          <w:sz w:val="24"/>
          <w:szCs w:val="24"/>
          <w:lang w:eastAsia="ru-RU"/>
        </w:rPr>
        <w:t xml:space="preserve">%. На объемах скажутся сокращение </w:t>
      </w:r>
      <w:proofErr w:type="spellStart"/>
      <w:r w:rsidRPr="005F1178">
        <w:rPr>
          <w:rFonts w:ascii="Times New Roman" w:hAnsi="Times New Roman"/>
          <w:sz w:val="24"/>
          <w:szCs w:val="24"/>
          <w:lang w:eastAsia="ru-RU"/>
        </w:rPr>
        <w:t>дюрации</w:t>
      </w:r>
      <w:proofErr w:type="spellEnd"/>
      <w:r w:rsidRPr="005F1178">
        <w:rPr>
          <w:rFonts w:ascii="Times New Roman" w:hAnsi="Times New Roman"/>
          <w:sz w:val="24"/>
          <w:szCs w:val="24"/>
          <w:lang w:eastAsia="ru-RU"/>
        </w:rPr>
        <w:t xml:space="preserve"> кредитов и упор банков на продукты с невысокими рисками. Фабрики </w:t>
      </w:r>
      <w:proofErr w:type="spellStart"/>
      <w:r w:rsidRPr="005F1178">
        <w:rPr>
          <w:rFonts w:ascii="Times New Roman" w:hAnsi="Times New Roman"/>
          <w:sz w:val="24"/>
          <w:szCs w:val="24"/>
          <w:lang w:eastAsia="ru-RU"/>
        </w:rPr>
        <w:t>микрокредитов</w:t>
      </w:r>
      <w:proofErr w:type="spellEnd"/>
      <w:r w:rsidRPr="005F1178">
        <w:rPr>
          <w:rFonts w:ascii="Times New Roman" w:hAnsi="Times New Roman"/>
          <w:sz w:val="24"/>
          <w:szCs w:val="24"/>
          <w:lang w:eastAsia="ru-RU"/>
        </w:rPr>
        <w:t xml:space="preserve"> для МСБ, дающие значительную маржу, были попыткой банков выйти на рынок с </w:t>
      </w:r>
      <w:proofErr w:type="spellStart"/>
      <w:r w:rsidRPr="005F1178">
        <w:rPr>
          <w:rFonts w:ascii="Times New Roman" w:hAnsi="Times New Roman"/>
          <w:sz w:val="24"/>
          <w:szCs w:val="24"/>
          <w:lang w:eastAsia="ru-RU"/>
        </w:rPr>
        <w:t>высокомаржинальными</w:t>
      </w:r>
      <w:proofErr w:type="spellEnd"/>
      <w:r w:rsidRPr="005F1178">
        <w:rPr>
          <w:rFonts w:ascii="Times New Roman" w:hAnsi="Times New Roman"/>
          <w:sz w:val="24"/>
          <w:szCs w:val="24"/>
          <w:lang w:eastAsia="ru-RU"/>
        </w:rPr>
        <w:t xml:space="preserve"> продуктами. </w:t>
      </w:r>
    </w:p>
    <w:p w:rsidR="00CB4C21" w:rsidRPr="005F1178" w:rsidRDefault="00CB4C21"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Давление со стороны снижения норматива Н</w:t>
      </w:r>
      <w:proofErr w:type="gramStart"/>
      <w:r w:rsidRPr="005F1178">
        <w:rPr>
          <w:rFonts w:ascii="Times New Roman" w:hAnsi="Times New Roman"/>
          <w:sz w:val="24"/>
          <w:szCs w:val="24"/>
          <w:lang w:eastAsia="ru-RU"/>
        </w:rPr>
        <w:t>1</w:t>
      </w:r>
      <w:proofErr w:type="gramEnd"/>
      <w:r w:rsidRPr="005F1178">
        <w:rPr>
          <w:rFonts w:ascii="Times New Roman" w:hAnsi="Times New Roman"/>
          <w:sz w:val="24"/>
          <w:szCs w:val="24"/>
          <w:lang w:eastAsia="ru-RU"/>
        </w:rPr>
        <w:t xml:space="preserve"> (</w:t>
      </w:r>
      <w:r w:rsidR="00367A42">
        <w:rPr>
          <w:rFonts w:ascii="Times New Roman" w:hAnsi="Times New Roman"/>
          <w:sz w:val="24"/>
          <w:szCs w:val="24"/>
          <w:lang w:eastAsia="ru-RU"/>
        </w:rPr>
        <w:t xml:space="preserve">в </w:t>
      </w:r>
      <w:r w:rsidRPr="005F1178">
        <w:rPr>
          <w:rFonts w:ascii="Times New Roman" w:hAnsi="Times New Roman"/>
          <w:sz w:val="24"/>
          <w:szCs w:val="24"/>
          <w:lang w:eastAsia="ru-RU"/>
        </w:rPr>
        <w:t>целом по банковской системе снизился за 2 последних года на 4 п</w:t>
      </w:r>
      <w:r w:rsidR="00774FC0" w:rsidRPr="005F1178">
        <w:rPr>
          <w:rFonts w:ascii="Times New Roman" w:hAnsi="Times New Roman"/>
          <w:sz w:val="24"/>
          <w:szCs w:val="24"/>
          <w:lang w:eastAsia="ru-RU"/>
        </w:rPr>
        <w:t>.</w:t>
      </w:r>
      <w:r w:rsidR="00367A42">
        <w:rPr>
          <w:rFonts w:ascii="Times New Roman" w:hAnsi="Times New Roman"/>
          <w:sz w:val="24"/>
          <w:szCs w:val="24"/>
          <w:lang w:eastAsia="ru-RU"/>
        </w:rPr>
        <w:t xml:space="preserve"> </w:t>
      </w:r>
      <w:r w:rsidRPr="005F1178">
        <w:rPr>
          <w:rFonts w:ascii="Times New Roman" w:hAnsi="Times New Roman"/>
          <w:sz w:val="24"/>
          <w:szCs w:val="24"/>
          <w:lang w:eastAsia="ru-RU"/>
        </w:rPr>
        <w:t>п</w:t>
      </w:r>
      <w:r w:rsidR="00774FC0" w:rsidRPr="005F1178">
        <w:rPr>
          <w:rFonts w:ascii="Times New Roman" w:hAnsi="Times New Roman"/>
          <w:sz w:val="24"/>
          <w:szCs w:val="24"/>
          <w:lang w:eastAsia="ru-RU"/>
        </w:rPr>
        <w:t>.</w:t>
      </w:r>
      <w:r w:rsidR="00367A42">
        <w:rPr>
          <w:rFonts w:ascii="Times New Roman" w:hAnsi="Times New Roman"/>
          <w:sz w:val="24"/>
          <w:szCs w:val="24"/>
          <w:lang w:eastAsia="ru-RU"/>
        </w:rPr>
        <w:t>,</w:t>
      </w:r>
      <w:r w:rsidRPr="005F1178">
        <w:rPr>
          <w:rFonts w:ascii="Times New Roman" w:hAnsi="Times New Roman"/>
          <w:sz w:val="24"/>
          <w:szCs w:val="24"/>
          <w:lang w:eastAsia="ru-RU"/>
        </w:rPr>
        <w:t xml:space="preserve"> до уровня 13,7% на 01.01.13) на кредитование среднего бизнеса в 2013 году ослаб</w:t>
      </w:r>
      <w:r w:rsidR="005F1178">
        <w:rPr>
          <w:rFonts w:ascii="Times New Roman" w:hAnsi="Times New Roman"/>
          <w:sz w:val="24"/>
          <w:szCs w:val="24"/>
          <w:lang w:eastAsia="ru-RU"/>
        </w:rPr>
        <w:t>е</w:t>
      </w:r>
      <w:r w:rsidRPr="005F1178">
        <w:rPr>
          <w:rFonts w:ascii="Times New Roman" w:hAnsi="Times New Roman"/>
          <w:sz w:val="24"/>
          <w:szCs w:val="24"/>
          <w:lang w:eastAsia="ru-RU"/>
        </w:rPr>
        <w:t>ет. Внедрени</w:t>
      </w:r>
      <w:r w:rsidR="005F1178">
        <w:rPr>
          <w:rFonts w:ascii="Times New Roman" w:hAnsi="Times New Roman"/>
          <w:sz w:val="24"/>
          <w:szCs w:val="24"/>
          <w:lang w:eastAsia="ru-RU"/>
        </w:rPr>
        <w:t>е</w:t>
      </w:r>
      <w:r w:rsidRPr="005F1178">
        <w:rPr>
          <w:rFonts w:ascii="Times New Roman" w:hAnsi="Times New Roman"/>
          <w:sz w:val="24"/>
          <w:szCs w:val="24"/>
          <w:lang w:eastAsia="ru-RU"/>
        </w:rPr>
        <w:t xml:space="preserve"> элементов Базел</w:t>
      </w:r>
      <w:r w:rsidR="00367A42">
        <w:rPr>
          <w:rFonts w:ascii="Times New Roman" w:hAnsi="Times New Roman"/>
          <w:sz w:val="24"/>
          <w:szCs w:val="24"/>
          <w:lang w:eastAsia="ru-RU"/>
        </w:rPr>
        <w:t>я</w:t>
      </w:r>
      <w:r w:rsidRPr="005F1178">
        <w:rPr>
          <w:rFonts w:ascii="Times New Roman" w:hAnsi="Times New Roman"/>
          <w:sz w:val="24"/>
          <w:szCs w:val="24"/>
          <w:lang w:eastAsia="ru-RU"/>
        </w:rPr>
        <w:t xml:space="preserve"> </w:t>
      </w:r>
      <w:r w:rsidRPr="005F1178">
        <w:rPr>
          <w:rFonts w:ascii="Times New Roman" w:hAnsi="Times New Roman"/>
          <w:sz w:val="24"/>
          <w:szCs w:val="24"/>
          <w:lang w:val="en-US" w:eastAsia="ru-RU"/>
        </w:rPr>
        <w:t>III</w:t>
      </w:r>
      <w:r w:rsidRPr="005F1178">
        <w:rPr>
          <w:rFonts w:ascii="Times New Roman" w:hAnsi="Times New Roman"/>
          <w:sz w:val="24"/>
          <w:szCs w:val="24"/>
          <w:lang w:eastAsia="ru-RU"/>
        </w:rPr>
        <w:t xml:space="preserve"> подстегнет банки к увеличению капитала, который нужно будет размещать в доходные активы. Позитивное влияние окажет и рост числа кредитных рейтингов у компаний среднего бизнеса, которые позволяют снизить давление на Н</w:t>
      </w:r>
      <w:proofErr w:type="gramStart"/>
      <w:r w:rsidRPr="005F1178">
        <w:rPr>
          <w:rFonts w:ascii="Times New Roman" w:hAnsi="Times New Roman"/>
          <w:sz w:val="24"/>
          <w:szCs w:val="24"/>
          <w:lang w:eastAsia="ru-RU"/>
        </w:rPr>
        <w:t>1</w:t>
      </w:r>
      <w:proofErr w:type="gramEnd"/>
      <w:r w:rsidRPr="005F1178">
        <w:rPr>
          <w:rFonts w:ascii="Times New Roman" w:hAnsi="Times New Roman"/>
          <w:sz w:val="24"/>
          <w:szCs w:val="24"/>
          <w:lang w:eastAsia="ru-RU"/>
        </w:rPr>
        <w:t>.</w:t>
      </w:r>
    </w:p>
    <w:p w:rsidR="00C14B4D" w:rsidRPr="005F1178" w:rsidRDefault="00C14B4D" w:rsidP="00C14B4D">
      <w:pPr>
        <w:rPr>
          <w:rFonts w:ascii="Times New Roman" w:hAnsi="Times New Roman"/>
          <w:sz w:val="24"/>
          <w:szCs w:val="24"/>
          <w:lang w:eastAsia="ru-RU"/>
        </w:rPr>
      </w:pPr>
      <w:r w:rsidRPr="005F1178">
        <w:rPr>
          <w:rFonts w:ascii="Times New Roman" w:hAnsi="Times New Roman"/>
          <w:sz w:val="24"/>
          <w:szCs w:val="24"/>
          <w:lang w:eastAsia="ru-RU"/>
        </w:rPr>
        <w:br w:type="page"/>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lastRenderedPageBreak/>
        <w:t>График</w:t>
      </w:r>
      <w:r w:rsidR="008A4B70" w:rsidRPr="003631A5">
        <w:rPr>
          <w:rFonts w:ascii="Times New Roman" w:hAnsi="Times New Roman" w:cs="Times New Roman"/>
          <w:sz w:val="24"/>
          <w:szCs w:val="24"/>
        </w:rPr>
        <w:t xml:space="preserve"> 1</w:t>
      </w:r>
      <w:r w:rsidR="00923911">
        <w:rPr>
          <w:rFonts w:ascii="Times New Roman" w:hAnsi="Times New Roman" w:cs="Times New Roman"/>
          <w:sz w:val="24"/>
          <w:szCs w:val="24"/>
        </w:rPr>
        <w:t>1</w:t>
      </w:r>
      <w:r w:rsidRPr="005F1178">
        <w:rPr>
          <w:rFonts w:ascii="Times New Roman" w:hAnsi="Times New Roman" w:cs="Times New Roman"/>
          <w:sz w:val="24"/>
          <w:szCs w:val="24"/>
        </w:rPr>
        <w:t>. Н</w:t>
      </w:r>
      <w:proofErr w:type="gramStart"/>
      <w:r w:rsidRPr="005F1178">
        <w:rPr>
          <w:rFonts w:ascii="Times New Roman" w:hAnsi="Times New Roman" w:cs="Times New Roman"/>
          <w:sz w:val="24"/>
          <w:szCs w:val="24"/>
        </w:rPr>
        <w:t>1</w:t>
      </w:r>
      <w:proofErr w:type="gramEnd"/>
      <w:r w:rsidRPr="005F1178">
        <w:rPr>
          <w:rFonts w:ascii="Times New Roman" w:hAnsi="Times New Roman" w:cs="Times New Roman"/>
          <w:sz w:val="24"/>
          <w:szCs w:val="24"/>
        </w:rPr>
        <w:t xml:space="preserve"> по банковской системе снижается</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noProof/>
          <w:lang w:eastAsia="ru-RU"/>
        </w:rPr>
        <w:drawing>
          <wp:inline distT="0" distB="0" distL="0" distR="0" wp14:anchorId="63833925" wp14:editId="3C3424FF">
            <wp:extent cx="4572000" cy="27432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14B4D" w:rsidRPr="005F1178" w:rsidRDefault="00C14B4D" w:rsidP="00C14B4D">
      <w:pPr>
        <w:tabs>
          <w:tab w:val="num" w:pos="1440"/>
        </w:tabs>
        <w:spacing w:after="0" w:line="240" w:lineRule="auto"/>
        <w:jc w:val="right"/>
        <w:rPr>
          <w:b/>
          <w:i/>
          <w:sz w:val="20"/>
          <w:szCs w:val="20"/>
        </w:rPr>
      </w:pPr>
      <w:r w:rsidRPr="005F1178">
        <w:rPr>
          <w:b/>
          <w:i/>
          <w:sz w:val="20"/>
          <w:szCs w:val="20"/>
        </w:rPr>
        <w:t>Источник: оценка «Эксперта РА» по данным Банка России</w:t>
      </w:r>
    </w:p>
    <w:p w:rsidR="00C14B4D" w:rsidRPr="005F1178" w:rsidRDefault="00C14B4D" w:rsidP="00C14B4D">
      <w:pPr>
        <w:tabs>
          <w:tab w:val="num" w:pos="1440"/>
        </w:tabs>
        <w:spacing w:after="0" w:line="240" w:lineRule="auto"/>
        <w:jc w:val="right"/>
        <w:rPr>
          <w:b/>
          <w:i/>
          <w:sz w:val="20"/>
          <w:szCs w:val="20"/>
        </w:rPr>
      </w:pP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t>График</w:t>
      </w:r>
      <w:r w:rsidR="008A4B70" w:rsidRPr="003631A5">
        <w:rPr>
          <w:rFonts w:ascii="Times New Roman" w:hAnsi="Times New Roman" w:cs="Times New Roman"/>
          <w:sz w:val="24"/>
          <w:szCs w:val="24"/>
        </w:rPr>
        <w:t xml:space="preserve"> 1</w:t>
      </w:r>
      <w:r w:rsidR="00923911">
        <w:rPr>
          <w:rFonts w:ascii="Times New Roman" w:hAnsi="Times New Roman" w:cs="Times New Roman"/>
          <w:sz w:val="24"/>
          <w:szCs w:val="24"/>
        </w:rPr>
        <w:t>2</w:t>
      </w:r>
      <w:r w:rsidRPr="005F1178">
        <w:rPr>
          <w:rFonts w:ascii="Times New Roman" w:hAnsi="Times New Roman" w:cs="Times New Roman"/>
          <w:sz w:val="24"/>
          <w:szCs w:val="24"/>
        </w:rPr>
        <w:t>. Розница и в 2013 году останется лидером</w:t>
      </w:r>
      <w:r w:rsidR="008D177B" w:rsidRPr="005F1178">
        <w:rPr>
          <w:rFonts w:ascii="Times New Roman" w:hAnsi="Times New Roman" w:cs="Times New Roman"/>
          <w:sz w:val="24"/>
          <w:szCs w:val="24"/>
        </w:rPr>
        <w:t xml:space="preserve"> кредитования</w:t>
      </w:r>
    </w:p>
    <w:p w:rsidR="00C14B4D" w:rsidRPr="005F1178" w:rsidRDefault="00C14B4D" w:rsidP="00C14B4D">
      <w:pPr>
        <w:tabs>
          <w:tab w:val="num" w:pos="1440"/>
        </w:tabs>
        <w:spacing w:after="0" w:line="240" w:lineRule="auto"/>
        <w:rPr>
          <w:b/>
          <w:i/>
          <w:sz w:val="20"/>
          <w:szCs w:val="20"/>
        </w:rPr>
      </w:pPr>
    </w:p>
    <w:p w:rsidR="00C14B4D" w:rsidRPr="005F1178" w:rsidRDefault="00C14B4D" w:rsidP="00C14B4D">
      <w:pPr>
        <w:tabs>
          <w:tab w:val="num" w:pos="1440"/>
        </w:tabs>
        <w:spacing w:after="0" w:line="240" w:lineRule="auto"/>
        <w:jc w:val="right"/>
        <w:rPr>
          <w:b/>
          <w:i/>
          <w:sz w:val="20"/>
          <w:szCs w:val="20"/>
        </w:rPr>
      </w:pPr>
      <w:r w:rsidRPr="005F1178">
        <w:rPr>
          <w:b/>
          <w:i/>
          <w:noProof/>
          <w:sz w:val="20"/>
          <w:szCs w:val="20"/>
          <w:lang w:eastAsia="ru-RU"/>
        </w:rPr>
        <w:drawing>
          <wp:inline distT="0" distB="0" distL="0" distR="0" wp14:anchorId="2A436F5E" wp14:editId="78142550">
            <wp:extent cx="5940425" cy="3361683"/>
            <wp:effectExtent l="0" t="0" r="3175" b="0"/>
            <wp:docPr id="102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3361683"/>
                    </a:xfrm>
                    <a:prstGeom prst="rect">
                      <a:avLst/>
                    </a:prstGeom>
                    <a:noFill/>
                    <a:ln>
                      <a:noFill/>
                    </a:ln>
                    <a:extLst/>
                  </pic:spPr>
                </pic:pic>
              </a:graphicData>
            </a:graphic>
          </wp:inline>
        </w:drawing>
      </w:r>
    </w:p>
    <w:p w:rsidR="00C14B4D" w:rsidRPr="005F1178" w:rsidRDefault="00C14B4D" w:rsidP="00C14B4D">
      <w:pPr>
        <w:autoSpaceDE w:val="0"/>
        <w:autoSpaceDN w:val="0"/>
        <w:adjustRightInd w:val="0"/>
        <w:spacing w:after="0"/>
        <w:ind w:firstLine="709"/>
        <w:jc w:val="right"/>
        <w:rPr>
          <w:rFonts w:ascii="Times New Roman" w:hAnsi="Times New Roman"/>
          <w:sz w:val="24"/>
          <w:szCs w:val="24"/>
          <w:lang w:eastAsia="ru-RU"/>
        </w:rPr>
      </w:pPr>
      <w:r w:rsidRPr="005F1178">
        <w:rPr>
          <w:b/>
          <w:i/>
          <w:sz w:val="20"/>
          <w:szCs w:val="20"/>
        </w:rPr>
        <w:t>Источник: оценка «Эксперта РА»</w:t>
      </w:r>
      <w:r w:rsidR="009E10A2">
        <w:rPr>
          <w:b/>
          <w:i/>
          <w:sz w:val="20"/>
          <w:szCs w:val="20"/>
        </w:rPr>
        <w:t>, данные Банка России</w:t>
      </w:r>
    </w:p>
    <w:p w:rsidR="00C14B4D" w:rsidRPr="005F1178" w:rsidRDefault="008D177B"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В 2013 году</w:t>
      </w:r>
      <w:r w:rsidR="00C14B4D" w:rsidRPr="005F1178">
        <w:rPr>
          <w:rFonts w:ascii="Times New Roman" w:hAnsi="Times New Roman"/>
          <w:sz w:val="24"/>
          <w:szCs w:val="24"/>
          <w:lang w:eastAsia="ru-RU"/>
        </w:rPr>
        <w:t xml:space="preserve"> вводятся более жесткие требования Базеля III к структуре капитала кредитных организаций. Регулятивные новации накладываются на </w:t>
      </w:r>
      <w:r w:rsidRPr="005F1178">
        <w:rPr>
          <w:rFonts w:ascii="Times New Roman" w:hAnsi="Times New Roman"/>
          <w:sz w:val="24"/>
          <w:szCs w:val="24"/>
          <w:lang w:eastAsia="ru-RU"/>
        </w:rPr>
        <w:t>замедление экономики, которое</w:t>
      </w:r>
      <w:r w:rsidR="00C14B4D" w:rsidRPr="005F1178">
        <w:rPr>
          <w:rFonts w:ascii="Times New Roman" w:hAnsi="Times New Roman"/>
          <w:sz w:val="24"/>
          <w:szCs w:val="24"/>
          <w:lang w:eastAsia="ru-RU"/>
        </w:rPr>
        <w:t xml:space="preserve"> может быть предвестником начала новой волны кризиса. Банки, принявшие участие в опросе «Эксперт</w:t>
      </w:r>
      <w:r w:rsidR="00367A42">
        <w:rPr>
          <w:rFonts w:ascii="Times New Roman" w:hAnsi="Times New Roman"/>
          <w:sz w:val="24"/>
          <w:szCs w:val="24"/>
          <w:lang w:eastAsia="ru-RU"/>
        </w:rPr>
        <w:t>а</w:t>
      </w:r>
      <w:r w:rsidR="00C14B4D" w:rsidRPr="005F1178">
        <w:rPr>
          <w:rFonts w:ascii="Times New Roman" w:hAnsi="Times New Roman"/>
          <w:sz w:val="24"/>
          <w:szCs w:val="24"/>
          <w:lang w:eastAsia="ru-RU"/>
        </w:rPr>
        <w:t xml:space="preserve"> РА», снизили ориентиры по росту своих портфелей МСБ в среднем на 5-7 п.</w:t>
      </w:r>
      <w:r w:rsidR="00367A42">
        <w:rPr>
          <w:rFonts w:ascii="Times New Roman" w:hAnsi="Times New Roman"/>
          <w:sz w:val="24"/>
          <w:szCs w:val="24"/>
          <w:lang w:eastAsia="ru-RU"/>
        </w:rPr>
        <w:t xml:space="preserve"> </w:t>
      </w:r>
      <w:r w:rsidR="00C14B4D" w:rsidRPr="005F1178">
        <w:rPr>
          <w:rFonts w:ascii="Times New Roman" w:hAnsi="Times New Roman"/>
          <w:sz w:val="24"/>
          <w:szCs w:val="24"/>
          <w:lang w:eastAsia="ru-RU"/>
        </w:rPr>
        <w:t>п. При этом</w:t>
      </w:r>
      <w:r w:rsidR="00367A42">
        <w:rPr>
          <w:rFonts w:ascii="Times New Roman" w:hAnsi="Times New Roman"/>
          <w:sz w:val="24"/>
          <w:szCs w:val="24"/>
          <w:lang w:eastAsia="ru-RU"/>
        </w:rPr>
        <w:t>,</w:t>
      </w:r>
      <w:r w:rsidR="00C14B4D" w:rsidRPr="005F1178">
        <w:rPr>
          <w:rFonts w:ascii="Times New Roman" w:hAnsi="Times New Roman"/>
          <w:sz w:val="24"/>
          <w:szCs w:val="24"/>
          <w:lang w:eastAsia="ru-RU"/>
        </w:rPr>
        <w:t xml:space="preserve"> если раньше закладывался опережающий, по сравнению со средним бизнесом, рост портфелей малого бизнеса, то теперь кредитные организации ожидают более «равномерных» цифр. Причины – повышенная чувствительность малого бизнеса к кризисным явлениям и рост давления государства на сектор малого бизнеса через увеличение социальных взносов.</w:t>
      </w:r>
    </w:p>
    <w:p w:rsidR="006609CF" w:rsidRPr="005F1178" w:rsidRDefault="00C14B4D" w:rsidP="00C14B4D">
      <w:pPr>
        <w:autoSpaceDE w:val="0"/>
        <w:autoSpaceDN w:val="0"/>
        <w:adjustRightInd w:val="0"/>
        <w:spacing w:after="0"/>
        <w:ind w:firstLine="709"/>
        <w:jc w:val="both"/>
      </w:pPr>
      <w:r w:rsidRPr="005F1178">
        <w:rPr>
          <w:rFonts w:ascii="Times New Roman" w:hAnsi="Times New Roman"/>
          <w:sz w:val="24"/>
          <w:szCs w:val="24"/>
          <w:lang w:eastAsia="ru-RU"/>
        </w:rPr>
        <w:lastRenderedPageBreak/>
        <w:t xml:space="preserve">Замедление экономического роста в последние месяцы быстрее всего отразилось на малом бизнесе. </w:t>
      </w:r>
      <w:r w:rsidR="00F15B04" w:rsidRPr="005F1178">
        <w:rPr>
          <w:rFonts w:ascii="Times New Roman" w:hAnsi="Times New Roman"/>
          <w:sz w:val="24"/>
          <w:szCs w:val="24"/>
          <w:lang w:eastAsia="ru-RU"/>
        </w:rPr>
        <w:t xml:space="preserve">В конце 2012 года МЭР пересмотрел прогноз по </w:t>
      </w:r>
      <w:proofErr w:type="spellStart"/>
      <w:r w:rsidR="00F15B04" w:rsidRPr="005F1178">
        <w:rPr>
          <w:rFonts w:ascii="Times New Roman" w:hAnsi="Times New Roman"/>
          <w:sz w:val="24"/>
          <w:szCs w:val="24"/>
          <w:lang w:eastAsia="ru-RU"/>
        </w:rPr>
        <w:t>промпроизводству</w:t>
      </w:r>
      <w:proofErr w:type="spellEnd"/>
      <w:r w:rsidR="00F15B04" w:rsidRPr="005F1178">
        <w:rPr>
          <w:rFonts w:ascii="Times New Roman" w:hAnsi="Times New Roman"/>
          <w:sz w:val="24"/>
          <w:szCs w:val="24"/>
          <w:lang w:eastAsia="ru-RU"/>
        </w:rPr>
        <w:t xml:space="preserve"> по году с 3,6 до 3,2%. В январе-марте 2013 года наблюдается</w:t>
      </w:r>
      <w:r w:rsidR="00117ADF" w:rsidRPr="005F1178">
        <w:rPr>
          <w:rFonts w:ascii="Times New Roman" w:hAnsi="Times New Roman"/>
          <w:sz w:val="24"/>
          <w:szCs w:val="24"/>
          <w:lang w:eastAsia="ru-RU"/>
        </w:rPr>
        <w:t xml:space="preserve"> ухудшение, с учетом сезонности,</w:t>
      </w:r>
      <w:r w:rsidR="00F15B04" w:rsidRPr="005F1178">
        <w:rPr>
          <w:rFonts w:ascii="Times New Roman" w:hAnsi="Times New Roman"/>
          <w:sz w:val="24"/>
          <w:szCs w:val="24"/>
          <w:lang w:eastAsia="ru-RU"/>
        </w:rPr>
        <w:t xml:space="preserve"> динамик</w:t>
      </w:r>
      <w:r w:rsidR="00117ADF" w:rsidRPr="005F1178">
        <w:rPr>
          <w:rFonts w:ascii="Times New Roman" w:hAnsi="Times New Roman"/>
          <w:sz w:val="24"/>
          <w:szCs w:val="24"/>
          <w:lang w:eastAsia="ru-RU"/>
        </w:rPr>
        <w:t>и</w:t>
      </w:r>
      <w:r w:rsidR="00F15B04" w:rsidRPr="005F1178">
        <w:rPr>
          <w:rFonts w:ascii="Times New Roman" w:hAnsi="Times New Roman"/>
          <w:sz w:val="24"/>
          <w:szCs w:val="24"/>
          <w:lang w:eastAsia="ru-RU"/>
        </w:rPr>
        <w:t xml:space="preserve"> ВВП. С</w:t>
      </w:r>
      <w:r w:rsidRPr="005F1178">
        <w:rPr>
          <w:rFonts w:ascii="Times New Roman" w:hAnsi="Times New Roman"/>
          <w:sz w:val="24"/>
          <w:szCs w:val="24"/>
          <w:lang w:eastAsia="ru-RU"/>
        </w:rPr>
        <w:t xml:space="preserve">убъекты </w:t>
      </w:r>
      <w:r w:rsidR="00F15B04" w:rsidRPr="005F1178">
        <w:rPr>
          <w:rFonts w:ascii="Times New Roman" w:hAnsi="Times New Roman"/>
          <w:sz w:val="24"/>
          <w:szCs w:val="24"/>
          <w:lang w:eastAsia="ru-RU"/>
        </w:rPr>
        <w:t xml:space="preserve">малого бизнеса </w:t>
      </w:r>
      <w:r w:rsidRPr="005F1178">
        <w:rPr>
          <w:rFonts w:ascii="Times New Roman" w:hAnsi="Times New Roman"/>
          <w:sz w:val="24"/>
          <w:szCs w:val="24"/>
          <w:lang w:eastAsia="ru-RU"/>
        </w:rPr>
        <w:t xml:space="preserve">начали ставить перед собой менее </w:t>
      </w:r>
      <w:proofErr w:type="gramStart"/>
      <w:r w:rsidRPr="005F1178">
        <w:rPr>
          <w:rFonts w:ascii="Times New Roman" w:hAnsi="Times New Roman"/>
          <w:sz w:val="24"/>
          <w:szCs w:val="24"/>
          <w:lang w:eastAsia="ru-RU"/>
        </w:rPr>
        <w:t>амбициозные</w:t>
      </w:r>
      <w:proofErr w:type="gramEnd"/>
      <w:r w:rsidRPr="005F1178">
        <w:rPr>
          <w:rFonts w:ascii="Times New Roman" w:hAnsi="Times New Roman"/>
          <w:sz w:val="24"/>
          <w:szCs w:val="24"/>
          <w:lang w:eastAsia="ru-RU"/>
        </w:rPr>
        <w:t xml:space="preserve"> задачи, которые требуют меньших кредитных ресурсов. </w:t>
      </w:r>
      <w:r w:rsidR="006609CF" w:rsidRPr="005F1178">
        <w:rPr>
          <w:rFonts w:ascii="Times New Roman" w:hAnsi="Times New Roman"/>
          <w:sz w:val="24"/>
          <w:szCs w:val="24"/>
          <w:lang w:eastAsia="ru-RU"/>
        </w:rPr>
        <w:t xml:space="preserve">«МСБ наиболее чувствителен к рыночным колебаниям, так как высок уровень кредитной нагрузки и практически отсутствует накопленная прибыль прошлых периодов», </w:t>
      </w:r>
      <w:r w:rsidR="00D93FC9">
        <w:rPr>
          <w:rFonts w:ascii="Times New Roman" w:hAnsi="Times New Roman"/>
          <w:sz w:val="24"/>
          <w:szCs w:val="24"/>
          <w:lang w:eastAsia="ru-RU"/>
        </w:rPr>
        <w:t>–</w:t>
      </w:r>
      <w:r w:rsidR="006609CF" w:rsidRPr="005F1178">
        <w:rPr>
          <w:rFonts w:ascii="Times New Roman" w:hAnsi="Times New Roman"/>
          <w:sz w:val="24"/>
          <w:szCs w:val="24"/>
          <w:lang w:eastAsia="ru-RU"/>
        </w:rPr>
        <w:t xml:space="preserve"> отмечает Сергей Гандзюк, </w:t>
      </w:r>
      <w:r w:rsidR="00D93FC9">
        <w:rPr>
          <w:rFonts w:ascii="Times New Roman" w:hAnsi="Times New Roman"/>
          <w:sz w:val="24"/>
          <w:szCs w:val="24"/>
          <w:lang w:eastAsia="ru-RU"/>
        </w:rPr>
        <w:t>в</w:t>
      </w:r>
      <w:r w:rsidR="006609CF" w:rsidRPr="005F1178">
        <w:rPr>
          <w:rFonts w:ascii="Times New Roman" w:hAnsi="Times New Roman"/>
          <w:sz w:val="24"/>
          <w:szCs w:val="24"/>
          <w:lang w:eastAsia="ru-RU"/>
        </w:rPr>
        <w:t xml:space="preserve">ице-президент ОАО «Банк Российский Кредит». </w:t>
      </w:r>
      <w:proofErr w:type="gramStart"/>
      <w:r w:rsidR="00F04992" w:rsidRPr="005F1178">
        <w:rPr>
          <w:rFonts w:ascii="Times New Roman" w:hAnsi="Times New Roman"/>
          <w:sz w:val="24"/>
          <w:szCs w:val="24"/>
          <w:lang w:eastAsia="ru-RU"/>
        </w:rPr>
        <w:t>«Предприниматели часто не</w:t>
      </w:r>
      <w:r w:rsidR="00D93FC9">
        <w:rPr>
          <w:rFonts w:ascii="Times New Roman" w:hAnsi="Times New Roman"/>
          <w:sz w:val="24"/>
          <w:szCs w:val="24"/>
          <w:lang w:eastAsia="ru-RU"/>
        </w:rPr>
        <w:t xml:space="preserve"> </w:t>
      </w:r>
      <w:r w:rsidR="00F04992" w:rsidRPr="005F1178">
        <w:rPr>
          <w:rFonts w:ascii="Times New Roman" w:hAnsi="Times New Roman"/>
          <w:sz w:val="24"/>
          <w:szCs w:val="24"/>
          <w:lang w:eastAsia="ru-RU"/>
        </w:rPr>
        <w:t xml:space="preserve">способны самостоятельно обеспечить непрерывность своей деятельности при непредвиденных расходах, то есть почти любые форс-мажорные обстоятельства могут вызвать серьезные финансовые проблемы», </w:t>
      </w:r>
      <w:r w:rsidR="00D93FC9">
        <w:rPr>
          <w:rFonts w:ascii="Times New Roman" w:hAnsi="Times New Roman"/>
          <w:sz w:val="24"/>
          <w:szCs w:val="24"/>
          <w:lang w:eastAsia="ru-RU"/>
        </w:rPr>
        <w:t>–</w:t>
      </w:r>
      <w:r w:rsidR="00F04992" w:rsidRPr="005F1178">
        <w:rPr>
          <w:rFonts w:ascii="Times New Roman" w:hAnsi="Times New Roman"/>
          <w:sz w:val="24"/>
          <w:szCs w:val="24"/>
          <w:lang w:eastAsia="ru-RU"/>
        </w:rPr>
        <w:t xml:space="preserve"> соглашается с ним Мария </w:t>
      </w:r>
      <w:proofErr w:type="spellStart"/>
      <w:r w:rsidR="00F04992" w:rsidRPr="005F1178">
        <w:rPr>
          <w:rFonts w:ascii="Times New Roman" w:hAnsi="Times New Roman"/>
          <w:sz w:val="24"/>
          <w:szCs w:val="24"/>
          <w:lang w:eastAsia="ru-RU"/>
        </w:rPr>
        <w:t>Барсова</w:t>
      </w:r>
      <w:proofErr w:type="spellEnd"/>
      <w:r w:rsidR="00F04992" w:rsidRPr="005F1178">
        <w:rPr>
          <w:rFonts w:ascii="Times New Roman" w:hAnsi="Times New Roman"/>
          <w:sz w:val="24"/>
          <w:szCs w:val="24"/>
          <w:lang w:eastAsia="ru-RU"/>
        </w:rPr>
        <w:t xml:space="preserve">, директор департамента по страхованию имущественных рисков и ответственности СГ </w:t>
      </w:r>
      <w:r w:rsidR="00D93FC9">
        <w:rPr>
          <w:rFonts w:ascii="Times New Roman" w:hAnsi="Times New Roman"/>
          <w:sz w:val="24"/>
          <w:szCs w:val="24"/>
          <w:lang w:eastAsia="ru-RU"/>
        </w:rPr>
        <w:t>«</w:t>
      </w:r>
      <w:r w:rsidR="00F04992" w:rsidRPr="005F1178">
        <w:rPr>
          <w:rFonts w:ascii="Times New Roman" w:hAnsi="Times New Roman"/>
          <w:sz w:val="24"/>
          <w:szCs w:val="24"/>
          <w:lang w:eastAsia="ru-RU"/>
        </w:rPr>
        <w:t>УРАЛСИБ</w:t>
      </w:r>
      <w:r w:rsidR="00D93FC9">
        <w:rPr>
          <w:rFonts w:ascii="Times New Roman" w:hAnsi="Times New Roman"/>
          <w:sz w:val="24"/>
          <w:szCs w:val="24"/>
          <w:lang w:eastAsia="ru-RU"/>
        </w:rPr>
        <w:t>»</w:t>
      </w:r>
      <w:r w:rsidR="00F04992" w:rsidRPr="005F1178">
        <w:rPr>
          <w:rFonts w:ascii="Times New Roman" w:hAnsi="Times New Roman"/>
          <w:sz w:val="24"/>
          <w:szCs w:val="24"/>
          <w:lang w:eastAsia="ru-RU"/>
        </w:rPr>
        <w:t>.</w:t>
      </w:r>
      <w:proofErr w:type="gramEnd"/>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 xml:space="preserve">Рост </w:t>
      </w:r>
      <w:proofErr w:type="spellStart"/>
      <w:r w:rsidR="00276473" w:rsidRPr="005F1178">
        <w:rPr>
          <w:rFonts w:ascii="Times New Roman" w:hAnsi="Times New Roman"/>
          <w:sz w:val="24"/>
          <w:szCs w:val="24"/>
          <w:lang w:eastAsia="ru-RU"/>
        </w:rPr>
        <w:t>соцвзносов</w:t>
      </w:r>
      <w:proofErr w:type="spellEnd"/>
      <w:r w:rsidRPr="005F1178">
        <w:rPr>
          <w:rFonts w:ascii="Times New Roman" w:hAnsi="Times New Roman"/>
          <w:sz w:val="24"/>
          <w:szCs w:val="24"/>
          <w:lang w:eastAsia="ru-RU"/>
        </w:rPr>
        <w:t xml:space="preserve"> привел к вымыванию с рынка значительного количества ИП, которые перешли в </w:t>
      </w:r>
      <w:r w:rsidR="00D93FC9">
        <w:rPr>
          <w:rFonts w:ascii="Times New Roman" w:hAnsi="Times New Roman"/>
          <w:sz w:val="24"/>
          <w:szCs w:val="24"/>
          <w:lang w:eastAsia="ru-RU"/>
        </w:rPr>
        <w:t>«</w:t>
      </w:r>
      <w:r w:rsidRPr="005F1178">
        <w:rPr>
          <w:rFonts w:ascii="Times New Roman" w:hAnsi="Times New Roman"/>
          <w:sz w:val="24"/>
          <w:szCs w:val="24"/>
          <w:lang w:eastAsia="ru-RU"/>
        </w:rPr>
        <w:t>серую</w:t>
      </w:r>
      <w:r w:rsidR="00D93FC9">
        <w:rPr>
          <w:rFonts w:ascii="Times New Roman" w:hAnsi="Times New Roman"/>
          <w:sz w:val="24"/>
          <w:szCs w:val="24"/>
          <w:lang w:eastAsia="ru-RU"/>
        </w:rPr>
        <w:t>»</w:t>
      </w:r>
      <w:r w:rsidRPr="005F1178">
        <w:rPr>
          <w:rFonts w:ascii="Times New Roman" w:hAnsi="Times New Roman"/>
          <w:sz w:val="24"/>
          <w:szCs w:val="24"/>
          <w:lang w:eastAsia="ru-RU"/>
        </w:rPr>
        <w:t xml:space="preserve"> зону. Напрямую кредитования это не коснулось, т.</w:t>
      </w:r>
      <w:r w:rsidR="00D93FC9">
        <w:rPr>
          <w:rFonts w:ascii="Times New Roman" w:hAnsi="Times New Roman"/>
          <w:sz w:val="24"/>
          <w:szCs w:val="24"/>
          <w:lang w:eastAsia="ru-RU"/>
        </w:rPr>
        <w:t xml:space="preserve"> </w:t>
      </w:r>
      <w:r w:rsidRPr="005F1178">
        <w:rPr>
          <w:rFonts w:ascii="Times New Roman" w:hAnsi="Times New Roman"/>
          <w:sz w:val="24"/>
          <w:szCs w:val="24"/>
          <w:lang w:eastAsia="ru-RU"/>
        </w:rPr>
        <w:t>к. в эту зону переходили в первую очередь маленькие ИП с небольшой потенциальной кредитной емкостью. «Серость» ударит с другой стороны – снизит комиссионные доходы банков, получаемые от обслуживания ИП.</w:t>
      </w:r>
    </w:p>
    <w:p w:rsidR="00276473" w:rsidRPr="005F1178" w:rsidRDefault="00276473"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В лидерах рынка по итогам 2013 года окажутся банки, внедрившие практику обслуживания МСБ по комплексным тарифам, а также кредитные организации, сумевшие выстроить «кредитные фабрики».</w:t>
      </w:r>
    </w:p>
    <w:p w:rsidR="00C14B4D" w:rsidRPr="005F1178" w:rsidRDefault="00C14B4D" w:rsidP="00C14B4D">
      <w:pPr>
        <w:autoSpaceDE w:val="0"/>
        <w:autoSpaceDN w:val="0"/>
        <w:adjustRightInd w:val="0"/>
        <w:spacing w:after="0"/>
        <w:ind w:firstLine="709"/>
        <w:jc w:val="both"/>
        <w:rPr>
          <w:rFonts w:ascii="Times New Roman" w:hAnsi="Times New Roman"/>
          <w:sz w:val="24"/>
          <w:szCs w:val="24"/>
          <w:lang w:eastAsia="ru-RU"/>
        </w:rPr>
      </w:pPr>
      <w:r w:rsidRPr="005F1178">
        <w:rPr>
          <w:rFonts w:ascii="Times New Roman" w:hAnsi="Times New Roman"/>
          <w:sz w:val="24"/>
          <w:szCs w:val="24"/>
          <w:lang w:eastAsia="ru-RU"/>
        </w:rPr>
        <w:t>Крупные банки за счет повсеместного внедрения идеологии комплексного обслуживания покажут и в 2013 году динамику кредитования лучше, чем небольшие кредитные организации.</w:t>
      </w:r>
    </w:p>
    <w:p w:rsidR="00C14B4D" w:rsidRPr="005F1178" w:rsidRDefault="00C14B4D" w:rsidP="00C14B4D">
      <w:pPr>
        <w:jc w:val="center"/>
        <w:rPr>
          <w:rFonts w:ascii="Times New Roman" w:hAnsi="Times New Roman" w:cs="Times New Roman"/>
          <w:sz w:val="24"/>
          <w:szCs w:val="24"/>
        </w:rPr>
      </w:pPr>
      <w:r w:rsidRPr="005F1178">
        <w:rPr>
          <w:rFonts w:ascii="Times New Roman" w:hAnsi="Times New Roman" w:cs="Times New Roman"/>
          <w:sz w:val="24"/>
          <w:szCs w:val="24"/>
        </w:rPr>
        <w:t>График</w:t>
      </w:r>
      <w:r w:rsidR="008A4B70" w:rsidRPr="003631A5">
        <w:rPr>
          <w:rFonts w:ascii="Times New Roman" w:hAnsi="Times New Roman" w:cs="Times New Roman"/>
          <w:sz w:val="24"/>
          <w:szCs w:val="24"/>
        </w:rPr>
        <w:t xml:space="preserve"> 1</w:t>
      </w:r>
      <w:r w:rsidR="00923911">
        <w:rPr>
          <w:rFonts w:ascii="Times New Roman" w:hAnsi="Times New Roman" w:cs="Times New Roman"/>
          <w:sz w:val="24"/>
          <w:szCs w:val="24"/>
        </w:rPr>
        <w:t>3</w:t>
      </w:r>
      <w:r w:rsidRPr="005F1178">
        <w:rPr>
          <w:rFonts w:ascii="Times New Roman" w:hAnsi="Times New Roman" w:cs="Times New Roman"/>
          <w:sz w:val="24"/>
          <w:szCs w:val="24"/>
        </w:rPr>
        <w:t>. В 2013 году портфель МСБ вырастет на 1</w:t>
      </w:r>
      <w:r w:rsidR="006609CF" w:rsidRPr="005F1178">
        <w:rPr>
          <w:rFonts w:ascii="Times New Roman" w:hAnsi="Times New Roman" w:cs="Times New Roman"/>
          <w:sz w:val="24"/>
          <w:szCs w:val="24"/>
        </w:rPr>
        <w:t>5-17</w:t>
      </w:r>
      <w:r w:rsidRPr="005F1178">
        <w:rPr>
          <w:rFonts w:ascii="Times New Roman" w:hAnsi="Times New Roman" w:cs="Times New Roman"/>
          <w:sz w:val="24"/>
          <w:szCs w:val="24"/>
        </w:rPr>
        <w:t>%</w:t>
      </w:r>
    </w:p>
    <w:p w:rsidR="00C14B4D" w:rsidRPr="005F1178" w:rsidRDefault="00C14B4D" w:rsidP="00C14B4D">
      <w:pPr>
        <w:ind w:firstLine="709"/>
        <w:jc w:val="both"/>
      </w:pPr>
      <w:r w:rsidRPr="005F1178">
        <w:rPr>
          <w:noProof/>
          <w:lang w:eastAsia="ru-RU"/>
        </w:rPr>
        <w:drawing>
          <wp:inline distT="0" distB="0" distL="0" distR="0" wp14:anchorId="4EEE4EB9" wp14:editId="274EF33D">
            <wp:extent cx="5940425" cy="3697055"/>
            <wp:effectExtent l="0" t="0" r="317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14B4D" w:rsidRPr="005F1178" w:rsidRDefault="00C14B4D" w:rsidP="00C14B4D">
      <w:pPr>
        <w:tabs>
          <w:tab w:val="num" w:pos="1440"/>
        </w:tabs>
        <w:spacing w:after="0" w:line="240" w:lineRule="auto"/>
        <w:jc w:val="right"/>
        <w:rPr>
          <w:b/>
          <w:i/>
          <w:sz w:val="20"/>
          <w:szCs w:val="20"/>
        </w:rPr>
      </w:pPr>
      <w:r w:rsidRPr="005F1178">
        <w:rPr>
          <w:b/>
          <w:i/>
          <w:sz w:val="20"/>
          <w:szCs w:val="20"/>
        </w:rPr>
        <w:t xml:space="preserve">Источник: оценка «Эксперта </w:t>
      </w:r>
      <w:proofErr w:type="spellStart"/>
      <w:r w:rsidRPr="005F1178">
        <w:rPr>
          <w:b/>
          <w:i/>
          <w:sz w:val="20"/>
          <w:szCs w:val="20"/>
        </w:rPr>
        <w:t>РА»</w:t>
      </w:r>
      <w:proofErr w:type="gramStart"/>
      <w:r w:rsidR="009E10A2">
        <w:rPr>
          <w:b/>
          <w:i/>
          <w:sz w:val="20"/>
          <w:szCs w:val="20"/>
        </w:rPr>
        <w:t>,</w:t>
      </w:r>
      <w:r w:rsidRPr="005F1178">
        <w:rPr>
          <w:b/>
          <w:i/>
          <w:sz w:val="20"/>
          <w:szCs w:val="20"/>
        </w:rPr>
        <w:t>д</w:t>
      </w:r>
      <w:proofErr w:type="gramEnd"/>
      <w:r w:rsidRPr="005F1178">
        <w:rPr>
          <w:b/>
          <w:i/>
          <w:sz w:val="20"/>
          <w:szCs w:val="20"/>
        </w:rPr>
        <w:t>анны</w:t>
      </w:r>
      <w:r w:rsidR="009E10A2">
        <w:rPr>
          <w:b/>
          <w:i/>
          <w:sz w:val="20"/>
          <w:szCs w:val="20"/>
        </w:rPr>
        <w:t>е</w:t>
      </w:r>
      <w:proofErr w:type="spellEnd"/>
      <w:r w:rsidRPr="005F1178">
        <w:rPr>
          <w:b/>
          <w:i/>
          <w:sz w:val="20"/>
          <w:szCs w:val="20"/>
        </w:rPr>
        <w:t xml:space="preserve"> Банка России</w:t>
      </w:r>
    </w:p>
    <w:p w:rsidR="00C14B4D" w:rsidRPr="005F1178" w:rsidRDefault="00C14B4D" w:rsidP="00C14B4D">
      <w:pPr>
        <w:tabs>
          <w:tab w:val="num" w:pos="1440"/>
        </w:tabs>
        <w:spacing w:after="0" w:line="240" w:lineRule="auto"/>
        <w:jc w:val="right"/>
        <w:rPr>
          <w:b/>
          <w:i/>
          <w:sz w:val="20"/>
          <w:szCs w:val="20"/>
        </w:rPr>
      </w:pPr>
      <w:r w:rsidRPr="005F1178">
        <w:rPr>
          <w:b/>
          <w:i/>
          <w:sz w:val="20"/>
          <w:szCs w:val="20"/>
        </w:rPr>
        <w:lastRenderedPageBreak/>
        <w:t xml:space="preserve">* </w:t>
      </w:r>
      <w:r w:rsidR="00D93FC9">
        <w:rPr>
          <w:b/>
          <w:i/>
          <w:sz w:val="20"/>
          <w:szCs w:val="20"/>
        </w:rPr>
        <w:t>Д</w:t>
      </w:r>
      <w:r w:rsidRPr="005F1178">
        <w:rPr>
          <w:b/>
          <w:i/>
          <w:sz w:val="20"/>
          <w:szCs w:val="20"/>
        </w:rPr>
        <w:t>анные «Эксперта РА»</w:t>
      </w:r>
    </w:p>
    <w:p w:rsidR="00BD1AAE" w:rsidRPr="005F1178" w:rsidRDefault="00C14B4D" w:rsidP="00C14B4D">
      <w:pPr>
        <w:tabs>
          <w:tab w:val="num" w:pos="1440"/>
        </w:tabs>
        <w:spacing w:after="0" w:line="240" w:lineRule="auto"/>
        <w:jc w:val="right"/>
        <w:rPr>
          <w:b/>
          <w:i/>
          <w:sz w:val="20"/>
          <w:szCs w:val="20"/>
        </w:rPr>
      </w:pPr>
      <w:r w:rsidRPr="005F1178">
        <w:rPr>
          <w:b/>
          <w:i/>
          <w:sz w:val="20"/>
          <w:szCs w:val="20"/>
        </w:rPr>
        <w:t xml:space="preserve">** </w:t>
      </w:r>
      <w:r w:rsidR="00D93FC9">
        <w:rPr>
          <w:b/>
          <w:i/>
          <w:sz w:val="20"/>
          <w:szCs w:val="20"/>
        </w:rPr>
        <w:t>П</w:t>
      </w:r>
      <w:r w:rsidRPr="005F1178">
        <w:rPr>
          <w:b/>
          <w:i/>
          <w:sz w:val="20"/>
          <w:szCs w:val="20"/>
        </w:rPr>
        <w:t>рогноз «Эксперта РА»</w:t>
      </w:r>
    </w:p>
    <w:p w:rsidR="00BD1AAE" w:rsidRPr="005F1178" w:rsidRDefault="00BD1AAE" w:rsidP="00E5155B">
      <w:pPr>
        <w:ind w:left="1416"/>
        <w:rPr>
          <w:rFonts w:ascii="Arial" w:eastAsia="Times New Roman" w:hAnsi="Arial" w:cs="Arial"/>
          <w:b/>
          <w:bCs/>
          <w:kern w:val="32"/>
          <w:sz w:val="32"/>
          <w:szCs w:val="32"/>
          <w:lang w:eastAsia="ru-RU"/>
        </w:rPr>
      </w:pPr>
      <w:r w:rsidRPr="005F1178">
        <w:br w:type="page"/>
      </w:r>
    </w:p>
    <w:p w:rsidR="00356A88" w:rsidRPr="005F1178" w:rsidRDefault="00356A88" w:rsidP="00356A88">
      <w:pPr>
        <w:pStyle w:val="1"/>
        <w:jc w:val="both"/>
      </w:pPr>
      <w:bookmarkStart w:id="13" w:name="_Toc352162054"/>
      <w:r w:rsidRPr="005F1178">
        <w:lastRenderedPageBreak/>
        <w:t>ПРИЛОЖЕНИЕ 1. Интервью с партнерами исследования</w:t>
      </w:r>
      <w:r w:rsidRPr="005F1178">
        <w:rPr>
          <w:rStyle w:val="a3"/>
          <w:rFonts w:ascii="Times New Roman" w:hAnsi="Times New Roman" w:cs="Times New Roman"/>
          <w:b w:val="0"/>
          <w:bCs w:val="0"/>
          <w:kern w:val="0"/>
        </w:rPr>
        <w:t/>
      </w:r>
      <w:bookmarkEnd w:id="13"/>
    </w:p>
    <w:p w:rsidR="00356A88" w:rsidRPr="005F1178" w:rsidRDefault="00A4479D" w:rsidP="004F5BF6">
      <w:pPr>
        <w:jc w:val="both"/>
        <w:rPr>
          <w:rFonts w:ascii="Times New Roman" w:hAnsi="Times New Roman" w:cs="Times New Roman"/>
          <w:b/>
          <w:sz w:val="24"/>
          <w:szCs w:val="24"/>
        </w:rPr>
      </w:pPr>
      <w:r w:rsidRPr="005F1178">
        <w:rPr>
          <w:rFonts w:ascii="Times New Roman" w:hAnsi="Times New Roman" w:cs="Times New Roman"/>
          <w:b/>
          <w:sz w:val="24"/>
          <w:szCs w:val="24"/>
        </w:rPr>
        <w:t xml:space="preserve">Интервью с </w:t>
      </w:r>
      <w:r w:rsidR="004F5BF6" w:rsidRPr="005F1178">
        <w:rPr>
          <w:rFonts w:ascii="Times New Roman" w:hAnsi="Times New Roman" w:cs="Times New Roman"/>
          <w:b/>
          <w:sz w:val="24"/>
          <w:szCs w:val="24"/>
        </w:rPr>
        <w:t xml:space="preserve">Андреем Петровым, </w:t>
      </w:r>
      <w:r w:rsidRPr="005F1178">
        <w:rPr>
          <w:rFonts w:ascii="Times New Roman" w:hAnsi="Times New Roman" w:cs="Times New Roman"/>
          <w:b/>
          <w:sz w:val="24"/>
          <w:szCs w:val="24"/>
        </w:rPr>
        <w:t xml:space="preserve">начальником управления малого бизнеса </w:t>
      </w:r>
      <w:r w:rsidR="00F7036A">
        <w:rPr>
          <w:rFonts w:ascii="Times New Roman" w:hAnsi="Times New Roman" w:cs="Times New Roman"/>
          <w:b/>
          <w:sz w:val="24"/>
          <w:szCs w:val="24"/>
        </w:rPr>
        <w:t>«</w:t>
      </w:r>
      <w:r w:rsidRPr="005F1178">
        <w:rPr>
          <w:rFonts w:ascii="Times New Roman" w:hAnsi="Times New Roman" w:cs="Times New Roman"/>
          <w:b/>
          <w:sz w:val="24"/>
          <w:szCs w:val="24"/>
        </w:rPr>
        <w:t>Сбербанка России</w:t>
      </w:r>
      <w:r w:rsidR="00F7036A">
        <w:rPr>
          <w:rFonts w:ascii="Times New Roman" w:hAnsi="Times New Roman" w:cs="Times New Roman"/>
          <w:b/>
          <w:sz w:val="24"/>
          <w:szCs w:val="24"/>
        </w:rPr>
        <w:t>»</w:t>
      </w:r>
    </w:p>
    <w:p w:rsidR="004F5BF6" w:rsidRPr="005F1178" w:rsidRDefault="00EC0EEC" w:rsidP="0080651F">
      <w:pPr>
        <w:spacing w:after="0" w:line="360" w:lineRule="auto"/>
        <w:ind w:left="360"/>
        <w:jc w:val="both"/>
      </w:pPr>
      <w:r>
        <w:t xml:space="preserve">– </w:t>
      </w:r>
      <w:r w:rsidR="004F5BF6" w:rsidRPr="005F1178">
        <w:t>Какие ключевые изменения произошли на рынке кредитования МСБ во втором полугодии 2012 года по сравнению с первым?</w:t>
      </w:r>
    </w:p>
    <w:p w:rsidR="004F5BF6" w:rsidRPr="005F1178" w:rsidRDefault="00122654" w:rsidP="004F5BF6">
      <w:pPr>
        <w:spacing w:line="360" w:lineRule="auto"/>
        <w:ind w:left="714"/>
        <w:jc w:val="both"/>
        <w:rPr>
          <w:color w:val="FF0000"/>
        </w:rPr>
      </w:pPr>
      <w:r>
        <w:rPr>
          <w:color w:val="FF0000"/>
        </w:rPr>
        <w:t>– В</w:t>
      </w:r>
      <w:r w:rsidR="004F5BF6" w:rsidRPr="005F1178">
        <w:rPr>
          <w:color w:val="FF0000"/>
        </w:rPr>
        <w:t xml:space="preserve">о втором полугодии, как и в первом, продолжилась либерализация условий кредитования МСБ. Основные игроки всё так же выводили на рынок новые программы </w:t>
      </w:r>
      <w:proofErr w:type="spellStart"/>
      <w:r w:rsidR="004F5BF6" w:rsidRPr="005F1178">
        <w:rPr>
          <w:color w:val="FF0000"/>
        </w:rPr>
        <w:t>скорингового</w:t>
      </w:r>
      <w:proofErr w:type="spellEnd"/>
      <w:r w:rsidR="004F5BF6" w:rsidRPr="005F1178">
        <w:rPr>
          <w:color w:val="FF0000"/>
        </w:rPr>
        <w:t xml:space="preserve"> кредитования, в том числе залоговые кредиты, увеличивали максимальные суммы и сроки кредитования </w:t>
      </w:r>
      <w:proofErr w:type="spellStart"/>
      <w:r w:rsidR="004F5BF6" w:rsidRPr="005F1178">
        <w:rPr>
          <w:color w:val="FF0000"/>
        </w:rPr>
        <w:t>беззалоговых</w:t>
      </w:r>
      <w:proofErr w:type="spellEnd"/>
      <w:r w:rsidR="004F5BF6" w:rsidRPr="005F1178">
        <w:rPr>
          <w:color w:val="FF0000"/>
        </w:rPr>
        <w:t xml:space="preserve"> кредитов и кредитов на пополнение оборотных средств.</w:t>
      </w:r>
    </w:p>
    <w:p w:rsidR="004F5BF6" w:rsidRPr="005F1178" w:rsidRDefault="004F5BF6" w:rsidP="004F5BF6">
      <w:pPr>
        <w:numPr>
          <w:ilvl w:val="0"/>
          <w:numId w:val="1"/>
        </w:numPr>
        <w:spacing w:after="0" w:line="360" w:lineRule="auto"/>
        <w:jc w:val="both"/>
      </w:pPr>
      <w:r w:rsidRPr="005F1178">
        <w:t xml:space="preserve">Как бы </w:t>
      </w:r>
      <w:r w:rsidR="004A7A53">
        <w:t>в</w:t>
      </w:r>
      <w:r w:rsidRPr="005F1178">
        <w:t>ы оценили динамику спроса на кредитные продукты со стороны МСБ во втором полугодии 2012 года по сравнению с первым?</w:t>
      </w:r>
    </w:p>
    <w:p w:rsidR="004F5BF6" w:rsidRPr="005F1178" w:rsidRDefault="004A7A53" w:rsidP="004F5BF6">
      <w:pPr>
        <w:spacing w:line="360" w:lineRule="auto"/>
        <w:ind w:left="720"/>
        <w:jc w:val="both"/>
        <w:rPr>
          <w:color w:val="FF0000"/>
        </w:rPr>
      </w:pPr>
      <w:r>
        <w:rPr>
          <w:color w:val="FF0000"/>
        </w:rPr>
        <w:t>–</w:t>
      </w:r>
      <w:r w:rsidR="004F5BF6" w:rsidRPr="005F1178">
        <w:rPr>
          <w:color w:val="FF0000"/>
        </w:rPr>
        <w:t xml:space="preserve"> </w:t>
      </w:r>
      <w:r>
        <w:rPr>
          <w:color w:val="FF0000"/>
        </w:rPr>
        <w:t xml:space="preserve"> В</w:t>
      </w:r>
      <w:r w:rsidR="004F5BF6" w:rsidRPr="005F1178">
        <w:rPr>
          <w:color w:val="FF0000"/>
        </w:rPr>
        <w:t>о втором полугодии темпы роста спроса на кредитование МСБ по действующим кредитным продуктам немного замедлились. Скорее всего, это связ</w:t>
      </w:r>
      <w:smartTag w:uri="urn:schemas-microsoft-com:office:smarttags" w:element="PersonName">
        <w:r w:rsidR="004F5BF6" w:rsidRPr="005F1178">
          <w:rPr>
            <w:color w:val="FF0000"/>
          </w:rPr>
          <w:t>а</w:t>
        </w:r>
      </w:smartTag>
      <w:r w:rsidR="004F5BF6" w:rsidRPr="005F1178">
        <w:rPr>
          <w:color w:val="FF0000"/>
        </w:rPr>
        <w:t>но с постепенным н</w:t>
      </w:r>
      <w:smartTag w:uri="urn:schemas-microsoft-com:office:smarttags" w:element="PersonName">
        <w:r w:rsidR="004F5BF6" w:rsidRPr="005F1178">
          <w:rPr>
            <w:color w:val="FF0000"/>
          </w:rPr>
          <w:t>а</w:t>
        </w:r>
      </w:smartTag>
      <w:r w:rsidR="004F5BF6" w:rsidRPr="005F1178">
        <w:rPr>
          <w:color w:val="FF0000"/>
        </w:rPr>
        <w:t>сыщением рынк</w:t>
      </w:r>
      <w:smartTag w:uri="urn:schemas-microsoft-com:office:smarttags" w:element="PersonName">
        <w:r w:rsidR="004F5BF6" w:rsidRPr="005F1178">
          <w:rPr>
            <w:color w:val="FF0000"/>
          </w:rPr>
          <w:t>а</w:t>
        </w:r>
      </w:smartTag>
      <w:r w:rsidR="004F5BF6" w:rsidRPr="005F1178">
        <w:rPr>
          <w:color w:val="FF0000"/>
        </w:rPr>
        <w:t xml:space="preserve"> имеющимися кредитными продукт</w:t>
      </w:r>
      <w:smartTag w:uri="urn:schemas-microsoft-com:office:smarttags" w:element="PersonName">
        <w:r w:rsidR="004F5BF6" w:rsidRPr="005F1178">
          <w:rPr>
            <w:color w:val="FF0000"/>
          </w:rPr>
          <w:t>а</w:t>
        </w:r>
      </w:smartTag>
      <w:r w:rsidR="004F5BF6" w:rsidRPr="005F1178">
        <w:rPr>
          <w:color w:val="FF0000"/>
        </w:rPr>
        <w:t>ми, поскольку, по мнению предприним</w:t>
      </w:r>
      <w:smartTag w:uri="urn:schemas-microsoft-com:office:smarttags" w:element="PersonName">
        <w:r w:rsidR="004F5BF6" w:rsidRPr="005F1178">
          <w:rPr>
            <w:color w:val="FF0000"/>
          </w:rPr>
          <w:t>а</w:t>
        </w:r>
      </w:smartTag>
      <w:r w:rsidR="004F5BF6" w:rsidRPr="005F1178">
        <w:rPr>
          <w:color w:val="FF0000"/>
        </w:rPr>
        <w:t xml:space="preserve">телей, кредитные ресурсы всё ещё труднодоступны. Для удовлетворения спроса клиентов </w:t>
      </w:r>
      <w:r>
        <w:rPr>
          <w:color w:val="FF0000"/>
        </w:rPr>
        <w:t>«</w:t>
      </w:r>
      <w:r w:rsidR="004F5BF6" w:rsidRPr="005F1178">
        <w:rPr>
          <w:color w:val="FF0000"/>
        </w:rPr>
        <w:t xml:space="preserve">Сбербанк </w:t>
      </w:r>
      <w:r>
        <w:rPr>
          <w:color w:val="FF0000"/>
        </w:rPr>
        <w:t xml:space="preserve">России» </w:t>
      </w:r>
      <w:r w:rsidR="004F5BF6" w:rsidRPr="005F1178">
        <w:rPr>
          <w:color w:val="FF0000"/>
        </w:rPr>
        <w:t xml:space="preserve">продолжил расширять линейку кредитных продуктов для МСБ. Для </w:t>
      </w:r>
      <w:r>
        <w:rPr>
          <w:color w:val="FF0000"/>
        </w:rPr>
        <w:t>м</w:t>
      </w:r>
      <w:r w:rsidR="004F5BF6" w:rsidRPr="005F1178">
        <w:rPr>
          <w:color w:val="FF0000"/>
        </w:rPr>
        <w:t xml:space="preserve">алого бизнеса был успешно запущен сразу ставший популярным </w:t>
      </w:r>
      <w:r>
        <w:rPr>
          <w:color w:val="FF0000"/>
        </w:rPr>
        <w:t>«</w:t>
      </w:r>
      <w:r w:rsidR="004F5BF6" w:rsidRPr="005F1178">
        <w:rPr>
          <w:color w:val="FF0000"/>
        </w:rPr>
        <w:t>Бизнес-овердрафт</w:t>
      </w:r>
      <w:r>
        <w:rPr>
          <w:color w:val="FF0000"/>
        </w:rPr>
        <w:t>»</w:t>
      </w:r>
      <w:r w:rsidR="004F5BF6" w:rsidRPr="005F1178">
        <w:rPr>
          <w:color w:val="FF0000"/>
        </w:rPr>
        <w:t xml:space="preserve">, пилот продукта </w:t>
      </w:r>
      <w:r>
        <w:rPr>
          <w:color w:val="FF0000"/>
        </w:rPr>
        <w:t>«</w:t>
      </w:r>
      <w:r w:rsidR="004F5BF6" w:rsidRPr="005F1178">
        <w:rPr>
          <w:color w:val="FF0000"/>
        </w:rPr>
        <w:t>Бизнес-проект</w:t>
      </w:r>
      <w:r>
        <w:rPr>
          <w:color w:val="FF0000"/>
        </w:rPr>
        <w:t>»</w:t>
      </w:r>
      <w:r w:rsidR="004F5BF6" w:rsidRPr="005F1178">
        <w:rPr>
          <w:color w:val="FF0000"/>
        </w:rPr>
        <w:t xml:space="preserve">, по которому уже выдано свыше 2 </w:t>
      </w:r>
      <w:proofErr w:type="gramStart"/>
      <w:r w:rsidR="004F5BF6" w:rsidRPr="005F1178">
        <w:rPr>
          <w:color w:val="FF0000"/>
        </w:rPr>
        <w:t>млрд</w:t>
      </w:r>
      <w:proofErr w:type="gramEnd"/>
      <w:r w:rsidR="004F5BF6" w:rsidRPr="005F1178">
        <w:rPr>
          <w:color w:val="FF0000"/>
        </w:rPr>
        <w:t xml:space="preserve"> рублей кредитных средств. Для сегмента </w:t>
      </w:r>
      <w:proofErr w:type="spellStart"/>
      <w:r>
        <w:rPr>
          <w:color w:val="FF0000"/>
        </w:rPr>
        <w:t>м</w:t>
      </w:r>
      <w:r w:rsidR="004F5BF6" w:rsidRPr="005F1178">
        <w:rPr>
          <w:color w:val="FF0000"/>
        </w:rPr>
        <w:t>икробизнес</w:t>
      </w:r>
      <w:proofErr w:type="spellEnd"/>
      <w:r w:rsidR="004F5BF6" w:rsidRPr="005F1178">
        <w:rPr>
          <w:color w:val="FF0000"/>
        </w:rPr>
        <w:t xml:space="preserve"> был запущен продукт </w:t>
      </w:r>
      <w:r>
        <w:rPr>
          <w:color w:val="FF0000"/>
        </w:rPr>
        <w:t>«</w:t>
      </w:r>
      <w:r w:rsidR="004F5BF6" w:rsidRPr="005F1178">
        <w:rPr>
          <w:color w:val="FF0000"/>
        </w:rPr>
        <w:t>Экспресс-авто</w:t>
      </w:r>
      <w:r>
        <w:rPr>
          <w:color w:val="FF0000"/>
        </w:rPr>
        <w:t>»</w:t>
      </w:r>
      <w:r w:rsidR="004F5BF6" w:rsidRPr="005F1178">
        <w:rPr>
          <w:color w:val="FF0000"/>
        </w:rPr>
        <w:t xml:space="preserve"> и пилот продукта </w:t>
      </w:r>
      <w:r>
        <w:rPr>
          <w:color w:val="FF0000"/>
        </w:rPr>
        <w:t>«</w:t>
      </w:r>
      <w:r w:rsidR="004F5BF6" w:rsidRPr="005F1178">
        <w:rPr>
          <w:color w:val="FF0000"/>
        </w:rPr>
        <w:t>Экспресс-актив</w:t>
      </w:r>
      <w:r>
        <w:rPr>
          <w:color w:val="FF0000"/>
        </w:rPr>
        <w:t>»</w:t>
      </w:r>
      <w:r w:rsidR="004F5BF6" w:rsidRPr="005F1178">
        <w:rPr>
          <w:color w:val="FF0000"/>
        </w:rPr>
        <w:t xml:space="preserve">. Всего за 2012 год только </w:t>
      </w:r>
      <w:r>
        <w:rPr>
          <w:color w:val="FF0000"/>
        </w:rPr>
        <w:t>«</w:t>
      </w:r>
      <w:r w:rsidR="004F5BF6" w:rsidRPr="005F1178">
        <w:rPr>
          <w:color w:val="FF0000"/>
        </w:rPr>
        <w:t xml:space="preserve">Сбербанком </w:t>
      </w:r>
      <w:r>
        <w:rPr>
          <w:color w:val="FF0000"/>
        </w:rPr>
        <w:t>России» м</w:t>
      </w:r>
      <w:r w:rsidR="004F5BF6" w:rsidRPr="005F1178">
        <w:rPr>
          <w:color w:val="FF0000"/>
        </w:rPr>
        <w:t xml:space="preserve">алому бизнесу было выдано свыше 267 </w:t>
      </w:r>
      <w:proofErr w:type="gramStart"/>
      <w:r w:rsidR="004F5BF6" w:rsidRPr="005F1178">
        <w:rPr>
          <w:color w:val="FF0000"/>
        </w:rPr>
        <w:t>млрд</w:t>
      </w:r>
      <w:proofErr w:type="gramEnd"/>
      <w:r w:rsidR="004F5BF6" w:rsidRPr="005F1178">
        <w:rPr>
          <w:color w:val="FF0000"/>
        </w:rPr>
        <w:t xml:space="preserve"> рублей, </w:t>
      </w:r>
      <w:proofErr w:type="spellStart"/>
      <w:r>
        <w:rPr>
          <w:color w:val="FF0000"/>
        </w:rPr>
        <w:t>м</w:t>
      </w:r>
      <w:r w:rsidR="004F5BF6" w:rsidRPr="005F1178">
        <w:rPr>
          <w:color w:val="FF0000"/>
        </w:rPr>
        <w:t>икробизнесу</w:t>
      </w:r>
      <w:proofErr w:type="spellEnd"/>
      <w:r w:rsidR="004F5BF6" w:rsidRPr="005F1178">
        <w:rPr>
          <w:color w:val="FF0000"/>
        </w:rPr>
        <w:t xml:space="preserve"> </w:t>
      </w:r>
      <w:r>
        <w:rPr>
          <w:color w:val="FF0000"/>
        </w:rPr>
        <w:t>–</w:t>
      </w:r>
      <w:r w:rsidR="004F5BF6" w:rsidRPr="005F1178">
        <w:rPr>
          <w:color w:val="FF0000"/>
        </w:rPr>
        <w:t xml:space="preserve"> свыше 90 млрд рублей по более чем 120 тыс. договоров. </w:t>
      </w:r>
    </w:p>
    <w:p w:rsidR="004F5BF6" w:rsidRPr="005F1178" w:rsidRDefault="001C3DBD" w:rsidP="004F5BF6">
      <w:pPr>
        <w:numPr>
          <w:ilvl w:val="0"/>
          <w:numId w:val="1"/>
        </w:numPr>
        <w:spacing w:after="0" w:line="360" w:lineRule="auto"/>
        <w:jc w:val="both"/>
      </w:pPr>
      <w:r>
        <w:t xml:space="preserve">– </w:t>
      </w:r>
      <w:r w:rsidR="004F5BF6" w:rsidRPr="005F1178">
        <w:t xml:space="preserve">Как </w:t>
      </w:r>
      <w:r>
        <w:t>в</w:t>
      </w:r>
      <w:r w:rsidR="004F5BF6" w:rsidRPr="005F1178">
        <w:t>ы оцениваете динамику проблемной задолженности МСБ в целом по рынку в 2012 году? Можно ли выделить отр</w:t>
      </w:r>
      <w:smartTag w:uri="urn:schemas-microsoft-com:office:smarttags" w:element="PersonName">
        <w:r w:rsidR="004F5BF6" w:rsidRPr="005F1178">
          <w:t>а</w:t>
        </w:r>
      </w:smartTag>
      <w:r w:rsidR="004F5BF6" w:rsidRPr="005F1178">
        <w:t>сли, для которых сегодня х</w:t>
      </w:r>
      <w:smartTag w:uri="urn:schemas-microsoft-com:office:smarttags" w:element="PersonName">
        <w:r w:rsidR="004F5BF6" w:rsidRPr="005F1178">
          <w:t>а</w:t>
        </w:r>
      </w:smartTag>
      <w:r w:rsidR="004F5BF6" w:rsidRPr="005F1178">
        <w:t>р</w:t>
      </w:r>
      <w:smartTag w:uri="urn:schemas-microsoft-com:office:smarttags" w:element="PersonName">
        <w:r w:rsidR="004F5BF6" w:rsidRPr="005F1178">
          <w:t>а</w:t>
        </w:r>
      </w:smartTag>
      <w:r w:rsidR="004F5BF6" w:rsidRPr="005F1178">
        <w:t>ктерны н</w:t>
      </w:r>
      <w:smartTag w:uri="urn:schemas-microsoft-com:office:smarttags" w:element="PersonName">
        <w:r w:rsidR="004F5BF6" w:rsidRPr="005F1178">
          <w:t>а</w:t>
        </w:r>
      </w:smartTag>
      <w:r w:rsidR="004F5BF6" w:rsidRPr="005F1178">
        <w:t>ибольшие темпы рост</w:t>
      </w:r>
      <w:smartTag w:uri="urn:schemas-microsoft-com:office:smarttags" w:element="PersonName">
        <w:r w:rsidR="004F5BF6" w:rsidRPr="005F1178">
          <w:t>а</w:t>
        </w:r>
      </w:smartTag>
      <w:r w:rsidR="004F5BF6" w:rsidRPr="005F1178">
        <w:t xml:space="preserve"> проблемной з</w:t>
      </w:r>
      <w:smartTag w:uri="urn:schemas-microsoft-com:office:smarttags" w:element="PersonName">
        <w:r w:rsidR="004F5BF6" w:rsidRPr="005F1178">
          <w:t>а</w:t>
        </w:r>
      </w:smartTag>
      <w:r w:rsidR="004F5BF6" w:rsidRPr="005F1178">
        <w:t>долженности?</w:t>
      </w:r>
    </w:p>
    <w:p w:rsidR="004F5BF6" w:rsidRPr="005F1178" w:rsidRDefault="001C3DBD" w:rsidP="004F5BF6">
      <w:pPr>
        <w:spacing w:line="360" w:lineRule="auto"/>
        <w:ind w:left="720"/>
        <w:jc w:val="both"/>
        <w:rPr>
          <w:color w:val="FF0000"/>
        </w:rPr>
      </w:pPr>
      <w:r>
        <w:rPr>
          <w:color w:val="FF0000"/>
        </w:rPr>
        <w:t>– Н</w:t>
      </w:r>
      <w:r w:rsidR="004F5BF6" w:rsidRPr="005F1178">
        <w:rPr>
          <w:color w:val="FF0000"/>
        </w:rPr>
        <w:t xml:space="preserve">аблюдалась негативная динамика роста проблемной задолженности. Это было связано с общим ухудшением профиля клиента, с либерализацией условий кредитования для МСБ банками в течение последних лет. </w:t>
      </w:r>
    </w:p>
    <w:p w:rsidR="004F5BF6" w:rsidRPr="005F1178" w:rsidRDefault="004F5BF6" w:rsidP="004F5BF6">
      <w:pPr>
        <w:spacing w:line="360" w:lineRule="auto"/>
        <w:ind w:left="720"/>
        <w:jc w:val="both"/>
        <w:rPr>
          <w:color w:val="FF0000"/>
        </w:rPr>
      </w:pPr>
      <w:r w:rsidRPr="005F1178">
        <w:rPr>
          <w:color w:val="FF0000"/>
        </w:rPr>
        <w:t>К</w:t>
      </w:r>
      <w:smartTag w:uri="urn:schemas-microsoft-com:office:smarttags" w:element="PersonName">
        <w:r w:rsidRPr="005F1178">
          <w:rPr>
            <w:color w:val="FF0000"/>
          </w:rPr>
          <w:t>а</w:t>
        </w:r>
      </w:smartTag>
      <w:r w:rsidRPr="005F1178">
        <w:rPr>
          <w:color w:val="FF0000"/>
        </w:rPr>
        <w:t>кие-либо конкретные проблемные отр</w:t>
      </w:r>
      <w:smartTag w:uri="urn:schemas-microsoft-com:office:smarttags" w:element="PersonName">
        <w:r w:rsidRPr="005F1178">
          <w:rPr>
            <w:color w:val="FF0000"/>
          </w:rPr>
          <w:t>а</w:t>
        </w:r>
      </w:smartTag>
      <w:r w:rsidRPr="005F1178">
        <w:rPr>
          <w:color w:val="FF0000"/>
        </w:rPr>
        <w:t>сли н</w:t>
      </w:r>
      <w:smartTag w:uri="urn:schemas-microsoft-com:office:smarttags" w:element="PersonName">
        <w:r w:rsidRPr="005F1178">
          <w:rPr>
            <w:color w:val="FF0000"/>
          </w:rPr>
          <w:t>а</w:t>
        </w:r>
      </w:smartTag>
      <w:r w:rsidRPr="005F1178">
        <w:rPr>
          <w:color w:val="FF0000"/>
        </w:rPr>
        <w:t xml:space="preserve"> д</w:t>
      </w:r>
      <w:smartTag w:uri="urn:schemas-microsoft-com:office:smarttags" w:element="PersonName">
        <w:r w:rsidRPr="005F1178">
          <w:rPr>
            <w:color w:val="FF0000"/>
          </w:rPr>
          <w:t>а</w:t>
        </w:r>
      </w:smartTag>
      <w:r w:rsidRPr="005F1178">
        <w:rPr>
          <w:color w:val="FF0000"/>
        </w:rPr>
        <w:t>нный момент в МСБ отсутствуют. Можно отметить, что в количественном отношении проблемных кредитов лидирует торговля, но это обусловлено тем, что основную массу заёмщиков сегмента МСБ составляют торговые компании.</w:t>
      </w:r>
    </w:p>
    <w:p w:rsidR="004F5BF6" w:rsidRPr="005F1178" w:rsidRDefault="001C3DBD" w:rsidP="004F5BF6">
      <w:pPr>
        <w:numPr>
          <w:ilvl w:val="0"/>
          <w:numId w:val="1"/>
        </w:numPr>
        <w:spacing w:after="0" w:line="360" w:lineRule="auto"/>
        <w:jc w:val="both"/>
      </w:pPr>
      <w:r>
        <w:lastRenderedPageBreak/>
        <w:t xml:space="preserve">– </w:t>
      </w:r>
      <w:r w:rsidR="004F5BF6" w:rsidRPr="005F1178">
        <w:t xml:space="preserve">Оцените эффективность ключевых инструментов господдержки рынка – гарантийных фондов и МСП Банка – в 2012 году. С какими основными проблемами сталкивается </w:t>
      </w:r>
      <w:r>
        <w:t>в</w:t>
      </w:r>
      <w:r w:rsidR="004F5BF6" w:rsidRPr="005F1178">
        <w:t xml:space="preserve">аш </w:t>
      </w:r>
      <w:r>
        <w:t>б</w:t>
      </w:r>
      <w:r w:rsidR="004F5BF6" w:rsidRPr="005F1178">
        <w:t>анк при взаимодействии с институтами развития? Существует ли сегодня потребность в дополнительных мер</w:t>
      </w:r>
      <w:smartTag w:uri="urn:schemas-microsoft-com:office:smarttags" w:element="PersonName">
        <w:r w:rsidR="004F5BF6" w:rsidRPr="005F1178">
          <w:t>а</w:t>
        </w:r>
      </w:smartTag>
      <w:r w:rsidR="004F5BF6" w:rsidRPr="005F1178">
        <w:t>х господдержки (если д</w:t>
      </w:r>
      <w:smartTag w:uri="urn:schemas-microsoft-com:office:smarttags" w:element="PersonName">
        <w:r w:rsidR="004F5BF6" w:rsidRPr="005F1178">
          <w:t>а</w:t>
        </w:r>
      </w:smartTag>
      <w:r w:rsidR="004F5BF6" w:rsidRPr="005F1178">
        <w:t>, н</w:t>
      </w:r>
      <w:smartTag w:uri="urn:schemas-microsoft-com:office:smarttags" w:element="PersonName">
        <w:r w:rsidR="004F5BF6" w:rsidRPr="005F1178">
          <w:t>а</w:t>
        </w:r>
      </w:smartTag>
      <w:r w:rsidR="004F5BF6" w:rsidRPr="005F1178">
        <w:t>зовите их)? К</w:t>
      </w:r>
      <w:smartTag w:uri="urn:schemas-microsoft-com:office:smarttags" w:element="PersonName">
        <w:r w:rsidR="004F5BF6" w:rsidRPr="005F1178">
          <w:t>а</w:t>
        </w:r>
      </w:smartTag>
      <w:r w:rsidR="004F5BF6" w:rsidRPr="005F1178">
        <w:t>к вы оценив</w:t>
      </w:r>
      <w:smartTag w:uri="urn:schemas-microsoft-com:office:smarttags" w:element="PersonName">
        <w:r w:rsidR="004F5BF6" w:rsidRPr="005F1178">
          <w:t>а</w:t>
        </w:r>
      </w:smartTag>
      <w:r w:rsidR="004F5BF6" w:rsidRPr="005F1178">
        <w:t>ете решение МСП Б</w:t>
      </w:r>
      <w:smartTag w:uri="urn:schemas-microsoft-com:office:smarttags" w:element="PersonName">
        <w:r w:rsidR="004F5BF6" w:rsidRPr="005F1178">
          <w:t>а</w:t>
        </w:r>
      </w:smartTag>
      <w:r w:rsidR="004F5BF6" w:rsidRPr="005F1178">
        <w:t>нк</w:t>
      </w:r>
      <w:smartTag w:uri="urn:schemas-microsoft-com:office:smarttags" w:element="PersonName">
        <w:r w:rsidR="004F5BF6" w:rsidRPr="005F1178">
          <w:t>а</w:t>
        </w:r>
      </w:smartTag>
      <w:r w:rsidR="004F5BF6" w:rsidRPr="005F1178">
        <w:t xml:space="preserve"> по з</w:t>
      </w:r>
      <w:smartTag w:uri="urn:schemas-microsoft-com:office:smarttags" w:element="PersonName">
        <w:r w:rsidR="004F5BF6" w:rsidRPr="005F1178">
          <w:t>а</w:t>
        </w:r>
      </w:smartTag>
      <w:r w:rsidR="004F5BF6" w:rsidRPr="005F1178">
        <w:t>пуску прогр</w:t>
      </w:r>
      <w:smartTag w:uri="urn:schemas-microsoft-com:office:smarttags" w:element="PersonName">
        <w:r w:rsidR="004F5BF6" w:rsidRPr="005F1178">
          <w:t>а</w:t>
        </w:r>
      </w:smartTag>
      <w:r w:rsidR="004F5BF6" w:rsidRPr="005F1178">
        <w:t xml:space="preserve">ммы </w:t>
      </w:r>
      <w:proofErr w:type="spellStart"/>
      <w:r w:rsidR="004F5BF6" w:rsidRPr="005F1178">
        <w:t>софин</w:t>
      </w:r>
      <w:smartTag w:uri="urn:schemas-microsoft-com:office:smarttags" w:element="PersonName">
        <w:r w:rsidR="004F5BF6" w:rsidRPr="005F1178">
          <w:t>а</w:t>
        </w:r>
      </w:smartTag>
      <w:r w:rsidR="004F5BF6" w:rsidRPr="005F1178">
        <w:t>нсиров</w:t>
      </w:r>
      <w:smartTag w:uri="urn:schemas-microsoft-com:office:smarttags" w:element="PersonName">
        <w:r w:rsidR="004F5BF6" w:rsidRPr="005F1178">
          <w:t>а</w:t>
        </w:r>
      </w:smartTag>
      <w:r w:rsidR="004F5BF6" w:rsidRPr="005F1178">
        <w:t>ния</w:t>
      </w:r>
      <w:proofErr w:type="spellEnd"/>
      <w:r w:rsidR="004F5BF6" w:rsidRPr="005F1178">
        <w:t xml:space="preserve"> МСБ (совместно с б</w:t>
      </w:r>
      <w:smartTag w:uri="urn:schemas-microsoft-com:office:smarttags" w:element="PersonName">
        <w:r w:rsidR="004F5BF6" w:rsidRPr="005F1178">
          <w:t>а</w:t>
        </w:r>
      </w:smartTag>
      <w:r w:rsidR="004F5BF6" w:rsidRPr="005F1178">
        <w:t>нк</w:t>
      </w:r>
      <w:smartTag w:uri="urn:schemas-microsoft-com:office:smarttags" w:element="PersonName">
        <w:r w:rsidR="004F5BF6" w:rsidRPr="005F1178">
          <w:t>а</w:t>
        </w:r>
      </w:smartTag>
      <w:r w:rsidR="004F5BF6" w:rsidRPr="005F1178">
        <w:t>ми-п</w:t>
      </w:r>
      <w:smartTag w:uri="urn:schemas-microsoft-com:office:smarttags" w:element="PersonName">
        <w:r w:rsidR="004F5BF6" w:rsidRPr="005F1178">
          <w:t>а</w:t>
        </w:r>
      </w:smartTag>
      <w:r w:rsidR="004F5BF6" w:rsidRPr="005F1178">
        <w:t>ртнер</w:t>
      </w:r>
      <w:smartTag w:uri="urn:schemas-microsoft-com:office:smarttags" w:element="PersonName">
        <w:r w:rsidR="004F5BF6" w:rsidRPr="005F1178">
          <w:t>а</w:t>
        </w:r>
      </w:smartTag>
      <w:r w:rsidR="004F5BF6" w:rsidRPr="005F1178">
        <w:t>ми)?</w:t>
      </w:r>
    </w:p>
    <w:p w:rsidR="004F5BF6" w:rsidRPr="005F1178" w:rsidRDefault="001C3DBD" w:rsidP="004F5BF6">
      <w:pPr>
        <w:spacing w:line="360" w:lineRule="auto"/>
        <w:ind w:left="720"/>
        <w:jc w:val="both"/>
        <w:rPr>
          <w:color w:val="FF0000"/>
        </w:rPr>
      </w:pPr>
      <w:r>
        <w:rPr>
          <w:color w:val="FF0000"/>
        </w:rPr>
        <w:t xml:space="preserve">– </w:t>
      </w:r>
      <w:r w:rsidR="004F5BF6" w:rsidRPr="005F1178">
        <w:rPr>
          <w:color w:val="FF0000"/>
        </w:rPr>
        <w:t>Меры государственной поддержки СМП в прошедшем 2012 году оцениваются нами в целом как эффективные и востребованные со стороны предпринимателей. Счит</w:t>
      </w:r>
      <w:smartTag w:uri="urn:schemas-microsoft-com:office:smarttags" w:element="PersonName">
        <w:r w:rsidR="004F5BF6" w:rsidRPr="005F1178">
          <w:rPr>
            <w:color w:val="FF0000"/>
          </w:rPr>
          <w:t>а</w:t>
        </w:r>
      </w:smartTag>
      <w:r w:rsidR="004F5BF6" w:rsidRPr="005F1178">
        <w:rPr>
          <w:color w:val="FF0000"/>
        </w:rPr>
        <w:t>ем, что д</w:t>
      </w:r>
      <w:smartTag w:uri="urn:schemas-microsoft-com:office:smarttags" w:element="PersonName">
        <w:r w:rsidR="004F5BF6" w:rsidRPr="005F1178">
          <w:rPr>
            <w:color w:val="FF0000"/>
          </w:rPr>
          <w:t>а</w:t>
        </w:r>
      </w:smartTag>
      <w:r w:rsidR="004F5BF6" w:rsidRPr="005F1178">
        <w:rPr>
          <w:color w:val="FF0000"/>
        </w:rPr>
        <w:t>нные меры ок</w:t>
      </w:r>
      <w:smartTag w:uri="urn:schemas-microsoft-com:office:smarttags" w:element="PersonName">
        <w:r w:rsidR="004F5BF6" w:rsidRPr="005F1178">
          <w:rPr>
            <w:color w:val="FF0000"/>
          </w:rPr>
          <w:t>а</w:t>
        </w:r>
      </w:smartTag>
      <w:r w:rsidR="004F5BF6" w:rsidRPr="005F1178">
        <w:rPr>
          <w:color w:val="FF0000"/>
        </w:rPr>
        <w:t>з</w:t>
      </w:r>
      <w:smartTag w:uri="urn:schemas-microsoft-com:office:smarttags" w:element="PersonName">
        <w:r w:rsidR="004F5BF6" w:rsidRPr="005F1178">
          <w:rPr>
            <w:color w:val="FF0000"/>
          </w:rPr>
          <w:t>а</w:t>
        </w:r>
      </w:smartTag>
      <w:r w:rsidR="004F5BF6" w:rsidRPr="005F1178">
        <w:rPr>
          <w:color w:val="FF0000"/>
        </w:rPr>
        <w:t>ли существенное влияние н</w:t>
      </w:r>
      <w:smartTag w:uri="urn:schemas-microsoft-com:office:smarttags" w:element="PersonName">
        <w:r w:rsidR="004F5BF6" w:rsidRPr="005F1178">
          <w:rPr>
            <w:color w:val="FF0000"/>
          </w:rPr>
          <w:t>а</w:t>
        </w:r>
      </w:smartTag>
      <w:r w:rsidR="004F5BF6" w:rsidRPr="005F1178">
        <w:rPr>
          <w:color w:val="FF0000"/>
        </w:rPr>
        <w:t xml:space="preserve"> р</w:t>
      </w:r>
      <w:smartTag w:uri="urn:schemas-microsoft-com:office:smarttags" w:element="PersonName">
        <w:r w:rsidR="004F5BF6" w:rsidRPr="005F1178">
          <w:rPr>
            <w:color w:val="FF0000"/>
          </w:rPr>
          <w:t>а</w:t>
        </w:r>
      </w:smartTag>
      <w:r w:rsidR="004F5BF6" w:rsidRPr="005F1178">
        <w:rPr>
          <w:color w:val="FF0000"/>
        </w:rPr>
        <w:t>звитие рынк</w:t>
      </w:r>
      <w:smartTag w:uri="urn:schemas-microsoft-com:office:smarttags" w:element="PersonName">
        <w:r w:rsidR="004F5BF6" w:rsidRPr="005F1178">
          <w:rPr>
            <w:color w:val="FF0000"/>
          </w:rPr>
          <w:t>а</w:t>
        </w:r>
      </w:smartTag>
      <w:r w:rsidR="004F5BF6" w:rsidRPr="005F1178">
        <w:rPr>
          <w:color w:val="FF0000"/>
        </w:rPr>
        <w:t xml:space="preserve"> кредитов</w:t>
      </w:r>
      <w:smartTag w:uri="urn:schemas-microsoft-com:office:smarttags" w:element="PersonName">
        <w:r w:rsidR="004F5BF6" w:rsidRPr="005F1178">
          <w:rPr>
            <w:color w:val="FF0000"/>
          </w:rPr>
          <w:t>а</w:t>
        </w:r>
      </w:smartTag>
      <w:r w:rsidR="004F5BF6" w:rsidRPr="005F1178">
        <w:rPr>
          <w:color w:val="FF0000"/>
        </w:rPr>
        <w:t>ния субъектов МСБ в 2012 году, что в том числе н</w:t>
      </w:r>
      <w:smartTag w:uri="urn:schemas-microsoft-com:office:smarttags" w:element="PersonName">
        <w:r w:rsidR="004F5BF6" w:rsidRPr="005F1178">
          <w:rPr>
            <w:color w:val="FF0000"/>
          </w:rPr>
          <w:t>а</w:t>
        </w:r>
      </w:smartTag>
      <w:r w:rsidR="004F5BF6" w:rsidRPr="005F1178">
        <w:rPr>
          <w:color w:val="FF0000"/>
        </w:rPr>
        <w:t>шло свое отр</w:t>
      </w:r>
      <w:smartTag w:uri="urn:schemas-microsoft-com:office:smarttags" w:element="PersonName">
        <w:r w:rsidR="004F5BF6" w:rsidRPr="005F1178">
          <w:rPr>
            <w:color w:val="FF0000"/>
          </w:rPr>
          <w:t>а</w:t>
        </w:r>
      </w:smartTag>
      <w:r w:rsidR="004F5BF6" w:rsidRPr="005F1178">
        <w:rPr>
          <w:color w:val="FF0000"/>
        </w:rPr>
        <w:t>жение в росте потребности в кредитных ресурс</w:t>
      </w:r>
      <w:smartTag w:uri="urn:schemas-microsoft-com:office:smarttags" w:element="PersonName">
        <w:r w:rsidR="004F5BF6" w:rsidRPr="005F1178">
          <w:rPr>
            <w:color w:val="FF0000"/>
          </w:rPr>
          <w:t>а</w:t>
        </w:r>
      </w:smartTag>
      <w:r w:rsidR="004F5BF6" w:rsidRPr="005F1178">
        <w:rPr>
          <w:color w:val="FF0000"/>
        </w:rPr>
        <w:t>х субъектов м</w:t>
      </w:r>
      <w:smartTag w:uri="urn:schemas-microsoft-com:office:smarttags" w:element="PersonName">
        <w:r w:rsidR="004F5BF6" w:rsidRPr="005F1178">
          <w:rPr>
            <w:color w:val="FF0000"/>
          </w:rPr>
          <w:t>а</w:t>
        </w:r>
      </w:smartTag>
      <w:r w:rsidR="004F5BF6" w:rsidRPr="005F1178">
        <w:rPr>
          <w:color w:val="FF0000"/>
        </w:rPr>
        <w:t>лого предприним</w:t>
      </w:r>
      <w:smartTag w:uri="urn:schemas-microsoft-com:office:smarttags" w:element="PersonName">
        <w:r w:rsidR="004F5BF6" w:rsidRPr="005F1178">
          <w:rPr>
            <w:color w:val="FF0000"/>
          </w:rPr>
          <w:t>а</w:t>
        </w:r>
      </w:smartTag>
      <w:r w:rsidR="004F5BF6" w:rsidRPr="005F1178">
        <w:rPr>
          <w:color w:val="FF0000"/>
        </w:rPr>
        <w:t>тельств</w:t>
      </w:r>
      <w:smartTag w:uri="urn:schemas-microsoft-com:office:smarttags" w:element="PersonName">
        <w:r w:rsidR="004F5BF6" w:rsidRPr="005F1178">
          <w:rPr>
            <w:color w:val="FF0000"/>
          </w:rPr>
          <w:t>а</w:t>
        </w:r>
      </w:smartTag>
      <w:r w:rsidR="004F5BF6" w:rsidRPr="005F1178">
        <w:rPr>
          <w:color w:val="FF0000"/>
        </w:rPr>
        <w:t>.</w:t>
      </w:r>
    </w:p>
    <w:p w:rsidR="004F5BF6" w:rsidRPr="005F1178" w:rsidRDefault="004F5BF6" w:rsidP="004F5BF6">
      <w:pPr>
        <w:spacing w:line="360" w:lineRule="auto"/>
        <w:ind w:left="720"/>
        <w:jc w:val="both"/>
        <w:rPr>
          <w:color w:val="FF0000"/>
        </w:rPr>
      </w:pPr>
      <w:r w:rsidRPr="005F1178">
        <w:rPr>
          <w:color w:val="FF0000"/>
        </w:rPr>
        <w:t>Н</w:t>
      </w:r>
      <w:smartTag w:uri="urn:schemas-microsoft-com:office:smarttags" w:element="PersonName">
        <w:r w:rsidRPr="005F1178">
          <w:rPr>
            <w:color w:val="FF0000"/>
          </w:rPr>
          <w:t>а</w:t>
        </w:r>
      </w:smartTag>
      <w:r w:rsidRPr="005F1178">
        <w:rPr>
          <w:color w:val="FF0000"/>
        </w:rPr>
        <w:t>иболее востребов</w:t>
      </w:r>
      <w:smartTag w:uri="urn:schemas-microsoft-com:office:smarttags" w:element="PersonName">
        <w:r w:rsidRPr="005F1178">
          <w:rPr>
            <w:color w:val="FF0000"/>
          </w:rPr>
          <w:t>а</w:t>
        </w:r>
      </w:smartTag>
      <w:r w:rsidRPr="005F1178">
        <w:rPr>
          <w:color w:val="FF0000"/>
        </w:rPr>
        <w:t>нным мех</w:t>
      </w:r>
      <w:smartTag w:uri="urn:schemas-microsoft-com:office:smarttags" w:element="PersonName">
        <w:r w:rsidRPr="005F1178">
          <w:rPr>
            <w:color w:val="FF0000"/>
          </w:rPr>
          <w:t>а</w:t>
        </w:r>
      </w:smartTag>
      <w:r w:rsidRPr="005F1178">
        <w:rPr>
          <w:color w:val="FF0000"/>
        </w:rPr>
        <w:t>низмом фин</w:t>
      </w:r>
      <w:smartTag w:uri="urn:schemas-microsoft-com:office:smarttags" w:element="PersonName">
        <w:r w:rsidRPr="005F1178">
          <w:rPr>
            <w:color w:val="FF0000"/>
          </w:rPr>
          <w:t>а</w:t>
        </w:r>
      </w:smartTag>
      <w:r w:rsidRPr="005F1178">
        <w:rPr>
          <w:color w:val="FF0000"/>
        </w:rPr>
        <w:t>нсовой поддержки ост</w:t>
      </w:r>
      <w:smartTag w:uri="urn:schemas-microsoft-com:office:smarttags" w:element="PersonName">
        <w:r w:rsidRPr="005F1178">
          <w:rPr>
            <w:color w:val="FF0000"/>
          </w:rPr>
          <w:t>а</w:t>
        </w:r>
      </w:smartTag>
      <w:r w:rsidRPr="005F1178">
        <w:rPr>
          <w:color w:val="FF0000"/>
        </w:rPr>
        <w:t>ется систем</w:t>
      </w:r>
      <w:smartTag w:uri="urn:schemas-microsoft-com:office:smarttags" w:element="PersonName">
        <w:r w:rsidRPr="005F1178">
          <w:rPr>
            <w:color w:val="FF0000"/>
          </w:rPr>
          <w:t>а</w:t>
        </w:r>
      </w:smartTag>
      <w:r w:rsidRPr="005F1178">
        <w:rPr>
          <w:color w:val="FF0000"/>
        </w:rPr>
        <w:t xml:space="preserve"> г</w:t>
      </w:r>
      <w:smartTag w:uri="urn:schemas-microsoft-com:office:smarttags" w:element="PersonName">
        <w:r w:rsidRPr="005F1178">
          <w:rPr>
            <w:color w:val="FF0000"/>
          </w:rPr>
          <w:t>а</w:t>
        </w:r>
      </w:smartTag>
      <w:r w:rsidRPr="005F1178">
        <w:rPr>
          <w:color w:val="FF0000"/>
        </w:rPr>
        <w:t>р</w:t>
      </w:r>
      <w:smartTag w:uri="urn:schemas-microsoft-com:office:smarttags" w:element="PersonName">
        <w:r w:rsidRPr="005F1178">
          <w:rPr>
            <w:color w:val="FF0000"/>
          </w:rPr>
          <w:t>а</w:t>
        </w:r>
      </w:smartTag>
      <w:r w:rsidRPr="005F1178">
        <w:rPr>
          <w:color w:val="FF0000"/>
        </w:rPr>
        <w:t>нтийных фондов для выд</w:t>
      </w:r>
      <w:smartTag w:uri="urn:schemas-microsoft-com:office:smarttags" w:element="PersonName">
        <w:r w:rsidRPr="005F1178">
          <w:rPr>
            <w:color w:val="FF0000"/>
          </w:rPr>
          <w:t>а</w:t>
        </w:r>
      </w:smartTag>
      <w:r w:rsidRPr="005F1178">
        <w:rPr>
          <w:color w:val="FF0000"/>
        </w:rPr>
        <w:t>чи поручительств по кредит</w:t>
      </w:r>
      <w:smartTag w:uri="urn:schemas-microsoft-com:office:smarttags" w:element="PersonName">
        <w:r w:rsidRPr="005F1178">
          <w:rPr>
            <w:color w:val="FF0000"/>
          </w:rPr>
          <w:t>а</w:t>
        </w:r>
      </w:smartTag>
      <w:r w:rsidRPr="005F1178">
        <w:rPr>
          <w:color w:val="FF0000"/>
        </w:rPr>
        <w:t>м для МСБ. Т</w:t>
      </w:r>
      <w:smartTag w:uri="urn:schemas-microsoft-com:office:smarttags" w:element="PersonName">
        <w:r w:rsidRPr="005F1178">
          <w:rPr>
            <w:color w:val="FF0000"/>
          </w:rPr>
          <w:t>а</w:t>
        </w:r>
      </w:smartTag>
      <w:r w:rsidRPr="005F1178">
        <w:rPr>
          <w:color w:val="FF0000"/>
        </w:rPr>
        <w:t>кже отметим возможность получения гр</w:t>
      </w:r>
      <w:smartTag w:uri="urn:schemas-microsoft-com:office:smarttags" w:element="PersonName">
        <w:r w:rsidRPr="005F1178">
          <w:rPr>
            <w:color w:val="FF0000"/>
          </w:rPr>
          <w:t>а</w:t>
        </w:r>
      </w:smartTag>
      <w:r w:rsidRPr="005F1178">
        <w:rPr>
          <w:color w:val="FF0000"/>
        </w:rPr>
        <w:t>нтов (в т.</w:t>
      </w:r>
      <w:r w:rsidR="00171DFF">
        <w:rPr>
          <w:color w:val="FF0000"/>
        </w:rPr>
        <w:t xml:space="preserve"> </w:t>
      </w:r>
      <w:r w:rsidRPr="005F1178">
        <w:rPr>
          <w:color w:val="FF0000"/>
        </w:rPr>
        <w:t>ч. н</w:t>
      </w:r>
      <w:smartTag w:uri="urn:schemas-microsoft-com:office:smarttags" w:element="PersonName">
        <w:r w:rsidRPr="005F1178">
          <w:rPr>
            <w:color w:val="FF0000"/>
          </w:rPr>
          <w:t>а</w:t>
        </w:r>
      </w:smartTag>
      <w:r w:rsidRPr="005F1178">
        <w:rPr>
          <w:color w:val="FF0000"/>
        </w:rPr>
        <w:t xml:space="preserve"> лизинг) и р</w:t>
      </w:r>
      <w:smartTag w:uri="urn:schemas-microsoft-com:office:smarttags" w:element="PersonName">
        <w:r w:rsidRPr="005F1178">
          <w:rPr>
            <w:color w:val="FF0000"/>
          </w:rPr>
          <w:t>а</w:t>
        </w:r>
      </w:smartTag>
      <w:r w:rsidRPr="005F1178">
        <w:rPr>
          <w:color w:val="FF0000"/>
        </w:rPr>
        <w:t xml:space="preserve">зовых </w:t>
      </w:r>
      <w:smartTag w:uri="urn:schemas-microsoft-com:office:smarttags" w:element="PersonName">
        <w:r w:rsidRPr="005F1178">
          <w:rPr>
            <w:color w:val="FF0000"/>
          </w:rPr>
          <w:t>а</w:t>
        </w:r>
      </w:smartTag>
      <w:r w:rsidRPr="005F1178">
        <w:rPr>
          <w:color w:val="FF0000"/>
        </w:rPr>
        <w:t>дресных субсидий н</w:t>
      </w:r>
      <w:smartTag w:uri="urn:schemas-microsoft-com:office:smarttags" w:element="PersonName">
        <w:r w:rsidRPr="005F1178">
          <w:rPr>
            <w:color w:val="FF0000"/>
          </w:rPr>
          <w:t>а</w:t>
        </w:r>
      </w:smartTag>
      <w:r w:rsidRPr="005F1178">
        <w:rPr>
          <w:color w:val="FF0000"/>
        </w:rPr>
        <w:t xml:space="preserve"> р</w:t>
      </w:r>
      <w:smartTag w:uri="urn:schemas-microsoft-com:office:smarttags" w:element="PersonName">
        <w:r w:rsidRPr="005F1178">
          <w:rPr>
            <w:color w:val="FF0000"/>
          </w:rPr>
          <w:t>а</w:t>
        </w:r>
      </w:smartTag>
      <w:r w:rsidRPr="005F1178">
        <w:rPr>
          <w:color w:val="FF0000"/>
        </w:rPr>
        <w:t>звитие бизнес</w:t>
      </w:r>
      <w:smartTag w:uri="urn:schemas-microsoft-com:office:smarttags" w:element="PersonName">
        <w:r w:rsidRPr="005F1178">
          <w:rPr>
            <w:color w:val="FF0000"/>
          </w:rPr>
          <w:t>а</w:t>
        </w:r>
      </w:smartTag>
      <w:r w:rsidRPr="005F1178">
        <w:rPr>
          <w:color w:val="FF0000"/>
        </w:rPr>
        <w:t xml:space="preserve"> по линии Минэкономр</w:t>
      </w:r>
      <w:smartTag w:uri="urn:schemas-microsoft-com:office:smarttags" w:element="PersonName">
        <w:r w:rsidRPr="005F1178">
          <w:rPr>
            <w:color w:val="FF0000"/>
          </w:rPr>
          <w:t>а</w:t>
        </w:r>
      </w:smartTag>
      <w:r w:rsidRPr="005F1178">
        <w:rPr>
          <w:color w:val="FF0000"/>
        </w:rPr>
        <w:t xml:space="preserve">звития России. В 2012 году </w:t>
      </w:r>
      <w:r w:rsidR="00171DFF">
        <w:rPr>
          <w:color w:val="FF0000"/>
        </w:rPr>
        <w:t>«</w:t>
      </w:r>
      <w:r w:rsidRPr="005F1178">
        <w:rPr>
          <w:color w:val="FF0000"/>
        </w:rPr>
        <w:t xml:space="preserve">Сбербанк </w:t>
      </w:r>
      <w:r w:rsidR="00171DFF">
        <w:rPr>
          <w:color w:val="FF0000"/>
        </w:rPr>
        <w:t xml:space="preserve">России» </w:t>
      </w:r>
      <w:r w:rsidRPr="005F1178">
        <w:rPr>
          <w:color w:val="FF0000"/>
        </w:rPr>
        <w:t xml:space="preserve">сотрудничал с </w:t>
      </w:r>
      <w:r w:rsidR="00171DFF">
        <w:rPr>
          <w:color w:val="FF0000"/>
        </w:rPr>
        <w:t>г</w:t>
      </w:r>
      <w:r w:rsidRPr="005F1178">
        <w:rPr>
          <w:color w:val="FF0000"/>
        </w:rPr>
        <w:t xml:space="preserve">арантийными фондами в 74 субъектах Российской Федерации, было выдано более 1700 кредитов под частичное поручительство фондов на сумму более 13,7 </w:t>
      </w:r>
      <w:proofErr w:type="gramStart"/>
      <w:r w:rsidRPr="005F1178">
        <w:rPr>
          <w:color w:val="FF0000"/>
        </w:rPr>
        <w:t>млрд</w:t>
      </w:r>
      <w:proofErr w:type="gramEnd"/>
      <w:r w:rsidRPr="005F1178">
        <w:rPr>
          <w:color w:val="FF0000"/>
        </w:rPr>
        <w:t xml:space="preserve"> рублей. </w:t>
      </w:r>
    </w:p>
    <w:p w:rsidR="004F5BF6" w:rsidRPr="005F1178" w:rsidRDefault="004F5BF6" w:rsidP="004F5BF6">
      <w:pPr>
        <w:spacing w:line="360" w:lineRule="auto"/>
        <w:ind w:left="720"/>
        <w:jc w:val="both"/>
        <w:rPr>
          <w:color w:val="FF0000"/>
        </w:rPr>
      </w:pPr>
      <w:r w:rsidRPr="005F1178">
        <w:rPr>
          <w:color w:val="FF0000"/>
        </w:rPr>
        <w:t>Роль государства в поддержке СМП на сегодняшний день весьма существенна, но нужно продолжать совершенствовать и развивать механизмы поддержки не финансового характера</w:t>
      </w:r>
      <w:r w:rsidR="00171DFF">
        <w:rPr>
          <w:color w:val="FF0000"/>
        </w:rPr>
        <w:t>, а</w:t>
      </w:r>
      <w:r w:rsidRPr="005F1178">
        <w:rPr>
          <w:color w:val="FF0000"/>
        </w:rPr>
        <w:t xml:space="preserve"> процедурного и информационно-просветительского характера, направленного на формирование и развитие благоприятной предпринимательской среды. Эффективным стимулом для р</w:t>
      </w:r>
      <w:smartTag w:uri="urn:schemas-microsoft-com:office:smarttags" w:element="PersonName">
        <w:r w:rsidRPr="005F1178">
          <w:rPr>
            <w:color w:val="FF0000"/>
          </w:rPr>
          <w:t>а</w:t>
        </w:r>
      </w:smartTag>
      <w:r w:rsidRPr="005F1178">
        <w:rPr>
          <w:color w:val="FF0000"/>
        </w:rPr>
        <w:t>звития МСБ могут ст</w:t>
      </w:r>
      <w:smartTag w:uri="urn:schemas-microsoft-com:office:smarttags" w:element="PersonName">
        <w:r w:rsidRPr="005F1178">
          <w:rPr>
            <w:color w:val="FF0000"/>
          </w:rPr>
          <w:t>а</w:t>
        </w:r>
      </w:smartTag>
      <w:r w:rsidRPr="005F1178">
        <w:rPr>
          <w:color w:val="FF0000"/>
        </w:rPr>
        <w:t>ть т</w:t>
      </w:r>
      <w:smartTag w:uri="urn:schemas-microsoft-com:office:smarttags" w:element="PersonName">
        <w:r w:rsidRPr="005F1178">
          <w:rPr>
            <w:color w:val="FF0000"/>
          </w:rPr>
          <w:t>а</w:t>
        </w:r>
      </w:smartTag>
      <w:r w:rsidRPr="005F1178">
        <w:rPr>
          <w:color w:val="FF0000"/>
        </w:rPr>
        <w:t>кие дополнительные меры, к</w:t>
      </w:r>
      <w:smartTag w:uri="urn:schemas-microsoft-com:office:smarttags" w:element="PersonName">
        <w:r w:rsidRPr="005F1178">
          <w:rPr>
            <w:color w:val="FF0000"/>
          </w:rPr>
          <w:t>а</w:t>
        </w:r>
      </w:smartTag>
      <w:r w:rsidRPr="005F1178">
        <w:rPr>
          <w:color w:val="FF0000"/>
        </w:rPr>
        <w:t>к:</w:t>
      </w:r>
    </w:p>
    <w:p w:rsidR="004F5BF6" w:rsidRPr="005F1178" w:rsidRDefault="00171DFF" w:rsidP="004F5BF6">
      <w:pPr>
        <w:spacing w:line="360" w:lineRule="auto"/>
        <w:ind w:left="720"/>
        <w:jc w:val="both"/>
        <w:rPr>
          <w:color w:val="FF0000"/>
        </w:rPr>
      </w:pPr>
      <w:r>
        <w:rPr>
          <w:color w:val="FF0000"/>
        </w:rPr>
        <w:t>–</w:t>
      </w:r>
      <w:r w:rsidR="004F5BF6" w:rsidRPr="005F1178">
        <w:rPr>
          <w:color w:val="FF0000"/>
        </w:rPr>
        <w:t xml:space="preserve"> оптимизация и упрощение работы гарантийных фондов, дальнейшее снижение стоимости их услуг, а также возможность получения предпринимателем поручительства гарантийного фонда под </w:t>
      </w:r>
      <w:r>
        <w:rPr>
          <w:color w:val="FF0000"/>
        </w:rPr>
        <w:t xml:space="preserve">кредит для </w:t>
      </w:r>
      <w:proofErr w:type="spellStart"/>
      <w:r w:rsidR="004F5BF6" w:rsidRPr="005F1178">
        <w:rPr>
          <w:color w:val="FF0000"/>
        </w:rPr>
        <w:t>start</w:t>
      </w:r>
      <w:proofErr w:type="spellEnd"/>
      <w:r>
        <w:rPr>
          <w:color w:val="FF0000"/>
        </w:rPr>
        <w:t xml:space="preserve"> </w:t>
      </w:r>
      <w:proofErr w:type="spellStart"/>
      <w:r w:rsidR="004F5BF6" w:rsidRPr="005F1178">
        <w:rPr>
          <w:color w:val="FF0000"/>
        </w:rPr>
        <w:t>up</w:t>
      </w:r>
      <w:proofErr w:type="spellEnd"/>
      <w:r w:rsidR="004F5BF6" w:rsidRPr="005F1178">
        <w:rPr>
          <w:color w:val="FF0000"/>
        </w:rPr>
        <w:t xml:space="preserve"> (данный вопрос находится в проработке в Минэкономразвития);</w:t>
      </w:r>
    </w:p>
    <w:p w:rsidR="004F5BF6" w:rsidRPr="005F1178" w:rsidRDefault="00171DFF" w:rsidP="004F5BF6">
      <w:pPr>
        <w:spacing w:line="360" w:lineRule="auto"/>
        <w:ind w:left="720"/>
        <w:jc w:val="both"/>
        <w:rPr>
          <w:color w:val="FF0000"/>
        </w:rPr>
      </w:pPr>
      <w:r>
        <w:rPr>
          <w:color w:val="FF0000"/>
        </w:rPr>
        <w:t>–</w:t>
      </w:r>
      <w:r w:rsidR="004F5BF6" w:rsidRPr="005F1178">
        <w:rPr>
          <w:color w:val="FF0000"/>
        </w:rPr>
        <w:t xml:space="preserve"> упрощение и ускорение процедуры получения государственных грантов и субсидий начинающими предпринимателями; </w:t>
      </w:r>
    </w:p>
    <w:p w:rsidR="004F5BF6" w:rsidRPr="005F1178" w:rsidRDefault="00171DFF" w:rsidP="004F5BF6">
      <w:pPr>
        <w:spacing w:line="360" w:lineRule="auto"/>
        <w:ind w:left="720"/>
        <w:jc w:val="both"/>
        <w:rPr>
          <w:color w:val="FF0000"/>
        </w:rPr>
      </w:pPr>
      <w:r>
        <w:rPr>
          <w:color w:val="FF0000"/>
        </w:rPr>
        <w:t>–</w:t>
      </w:r>
      <w:r w:rsidR="004F5BF6" w:rsidRPr="005F1178">
        <w:rPr>
          <w:color w:val="FF0000"/>
        </w:rPr>
        <w:t xml:space="preserve"> существенное развитие информационной среды, меры по популяризации предпринимательства и </w:t>
      </w:r>
      <w:proofErr w:type="spellStart"/>
      <w:r w:rsidR="004F5BF6" w:rsidRPr="005F1178">
        <w:rPr>
          <w:color w:val="FF0000"/>
        </w:rPr>
        <w:t>самозанятости</w:t>
      </w:r>
      <w:proofErr w:type="spellEnd"/>
      <w:r w:rsidR="004F5BF6" w:rsidRPr="005F1178">
        <w:rPr>
          <w:color w:val="FF0000"/>
        </w:rPr>
        <w:t>, развитие общефедеральных образовательных программ для предпринимателей (в т.</w:t>
      </w:r>
      <w:r>
        <w:rPr>
          <w:color w:val="FF0000"/>
        </w:rPr>
        <w:t xml:space="preserve"> </w:t>
      </w:r>
      <w:r w:rsidR="004F5BF6" w:rsidRPr="005F1178">
        <w:rPr>
          <w:color w:val="FF0000"/>
        </w:rPr>
        <w:t>ч. дист</w:t>
      </w:r>
      <w:smartTag w:uri="urn:schemas-microsoft-com:office:smarttags" w:element="PersonName">
        <w:r w:rsidR="004F5BF6" w:rsidRPr="005F1178">
          <w:rPr>
            <w:color w:val="FF0000"/>
          </w:rPr>
          <w:t>а</w:t>
        </w:r>
      </w:smartTag>
      <w:r w:rsidR="004F5BF6" w:rsidRPr="005F1178">
        <w:rPr>
          <w:color w:val="FF0000"/>
        </w:rPr>
        <w:t>нционных и с использов</w:t>
      </w:r>
      <w:smartTag w:uri="urn:schemas-microsoft-com:office:smarttags" w:element="PersonName">
        <w:r w:rsidR="004F5BF6" w:rsidRPr="005F1178">
          <w:rPr>
            <w:color w:val="FF0000"/>
          </w:rPr>
          <w:t>а</w:t>
        </w:r>
      </w:smartTag>
      <w:r w:rsidR="004F5BF6" w:rsidRPr="005F1178">
        <w:rPr>
          <w:color w:val="FF0000"/>
        </w:rPr>
        <w:t>нием Интернет</w:t>
      </w:r>
      <w:smartTag w:uri="urn:schemas-microsoft-com:office:smarttags" w:element="PersonName">
        <w:r w:rsidR="004F5BF6" w:rsidRPr="005F1178">
          <w:rPr>
            <w:color w:val="FF0000"/>
          </w:rPr>
          <w:t>а</w:t>
        </w:r>
      </w:smartTag>
      <w:r w:rsidR="004F5BF6" w:rsidRPr="005F1178">
        <w:rPr>
          <w:color w:val="FF0000"/>
        </w:rPr>
        <w:t>), созд</w:t>
      </w:r>
      <w:smartTag w:uri="urn:schemas-microsoft-com:office:smarttags" w:element="PersonName">
        <w:r w:rsidR="004F5BF6" w:rsidRPr="005F1178">
          <w:rPr>
            <w:color w:val="FF0000"/>
          </w:rPr>
          <w:t>а</w:t>
        </w:r>
      </w:smartTag>
      <w:r w:rsidR="004F5BF6" w:rsidRPr="005F1178">
        <w:rPr>
          <w:color w:val="FF0000"/>
        </w:rPr>
        <w:t>ние новых специ</w:t>
      </w:r>
      <w:smartTag w:uri="urn:schemas-microsoft-com:office:smarttags" w:element="PersonName">
        <w:r w:rsidR="004F5BF6" w:rsidRPr="005F1178">
          <w:rPr>
            <w:color w:val="FF0000"/>
          </w:rPr>
          <w:t>а</w:t>
        </w:r>
      </w:smartTag>
      <w:r w:rsidR="004F5BF6" w:rsidRPr="005F1178">
        <w:rPr>
          <w:color w:val="FF0000"/>
        </w:rPr>
        <w:t>лизиров</w:t>
      </w:r>
      <w:smartTag w:uri="urn:schemas-microsoft-com:office:smarttags" w:element="PersonName">
        <w:r w:rsidR="004F5BF6" w:rsidRPr="005F1178">
          <w:rPr>
            <w:color w:val="FF0000"/>
          </w:rPr>
          <w:t>а</w:t>
        </w:r>
      </w:smartTag>
      <w:r w:rsidR="004F5BF6" w:rsidRPr="005F1178">
        <w:rPr>
          <w:color w:val="FF0000"/>
        </w:rPr>
        <w:t>нных СМИ, ориентиров</w:t>
      </w:r>
      <w:smartTag w:uri="urn:schemas-microsoft-com:office:smarttags" w:element="PersonName">
        <w:r w:rsidR="004F5BF6" w:rsidRPr="005F1178">
          <w:rPr>
            <w:color w:val="FF0000"/>
          </w:rPr>
          <w:t>а</w:t>
        </w:r>
      </w:smartTag>
      <w:r w:rsidR="004F5BF6" w:rsidRPr="005F1178">
        <w:rPr>
          <w:color w:val="FF0000"/>
        </w:rPr>
        <w:t>нных н</w:t>
      </w:r>
      <w:smartTag w:uri="urn:schemas-microsoft-com:office:smarttags" w:element="PersonName">
        <w:r w:rsidR="004F5BF6" w:rsidRPr="005F1178">
          <w:rPr>
            <w:color w:val="FF0000"/>
          </w:rPr>
          <w:t>а</w:t>
        </w:r>
      </w:smartTag>
      <w:r w:rsidR="004F5BF6" w:rsidRPr="005F1178">
        <w:rPr>
          <w:color w:val="FF0000"/>
        </w:rPr>
        <w:t xml:space="preserve"> СМП;</w:t>
      </w:r>
    </w:p>
    <w:p w:rsidR="004F5BF6" w:rsidRPr="005F1178" w:rsidRDefault="00171DFF" w:rsidP="004F5BF6">
      <w:pPr>
        <w:spacing w:line="360" w:lineRule="auto"/>
        <w:ind w:left="720"/>
        <w:jc w:val="both"/>
        <w:rPr>
          <w:color w:val="FF0000"/>
        </w:rPr>
      </w:pPr>
      <w:r>
        <w:rPr>
          <w:color w:val="FF0000"/>
        </w:rPr>
        <w:lastRenderedPageBreak/>
        <w:t>–</w:t>
      </w:r>
      <w:r w:rsidR="004F5BF6" w:rsidRPr="005F1178">
        <w:rPr>
          <w:color w:val="FF0000"/>
        </w:rPr>
        <w:t xml:space="preserve"> введение «налоговых каникул» и специальных налоговых льгот для начинающих предпринимателей, а также иных льгот и преференций для малых предприятий;</w:t>
      </w:r>
    </w:p>
    <w:p w:rsidR="004F5BF6" w:rsidRPr="005F1178" w:rsidRDefault="00171DFF" w:rsidP="0080651F">
      <w:pPr>
        <w:spacing w:line="360" w:lineRule="auto"/>
        <w:jc w:val="both"/>
        <w:rPr>
          <w:color w:val="FF0000"/>
        </w:rPr>
      </w:pPr>
      <w:r>
        <w:rPr>
          <w:color w:val="FF0000"/>
        </w:rPr>
        <w:t>–</w:t>
      </w:r>
      <w:r w:rsidR="004F5BF6" w:rsidRPr="005F1178">
        <w:rPr>
          <w:color w:val="FF0000"/>
        </w:rPr>
        <w:t xml:space="preserve"> повышение обязательной доли СМП, привлекаемой для выполнения государственных заказов</w:t>
      </w:r>
      <w:r>
        <w:rPr>
          <w:color w:val="FF0000"/>
        </w:rPr>
        <w:t>.</w:t>
      </w:r>
    </w:p>
    <w:p w:rsidR="004F5BF6" w:rsidRPr="005F1178" w:rsidRDefault="00B955C9" w:rsidP="004F5BF6">
      <w:pPr>
        <w:numPr>
          <w:ilvl w:val="0"/>
          <w:numId w:val="1"/>
        </w:numPr>
        <w:spacing w:after="0" w:line="360" w:lineRule="auto"/>
        <w:jc w:val="both"/>
      </w:pPr>
      <w:r>
        <w:t xml:space="preserve">– </w:t>
      </w:r>
      <w:r w:rsidR="004F5BF6" w:rsidRPr="005F1178">
        <w:t xml:space="preserve">Какие стратегии борьбы за заемщиков были в 2012 году наиболее эффективными? Ожидаете ли </w:t>
      </w:r>
      <w:r>
        <w:t>в</w:t>
      </w:r>
      <w:r w:rsidR="004F5BF6" w:rsidRPr="005F1178">
        <w:t>ы какие-либо значимые «перестановки» среди ведущих участников рынка до конца текущего года?</w:t>
      </w:r>
    </w:p>
    <w:p w:rsidR="004F5BF6" w:rsidRPr="005F1178" w:rsidRDefault="00B955C9" w:rsidP="004F5BF6">
      <w:pPr>
        <w:spacing w:line="360" w:lineRule="auto"/>
        <w:ind w:left="720"/>
        <w:jc w:val="both"/>
        <w:rPr>
          <w:color w:val="FF0000"/>
        </w:rPr>
      </w:pPr>
      <w:r>
        <w:rPr>
          <w:color w:val="FF0000"/>
        </w:rPr>
        <w:t>– К</w:t>
      </w:r>
      <w:r w:rsidR="004F5BF6" w:rsidRPr="005F1178">
        <w:rPr>
          <w:color w:val="FF0000"/>
        </w:rPr>
        <w:t>аких-либо существенных перестановок среди ведущих игроков рынка ожидать</w:t>
      </w:r>
      <w:r>
        <w:rPr>
          <w:color w:val="FF0000"/>
        </w:rPr>
        <w:t>,</w:t>
      </w:r>
      <w:r w:rsidR="004F5BF6" w:rsidRPr="005F1178">
        <w:rPr>
          <w:color w:val="FF0000"/>
        </w:rPr>
        <w:t xml:space="preserve"> скорее всего</w:t>
      </w:r>
      <w:r>
        <w:rPr>
          <w:color w:val="FF0000"/>
        </w:rPr>
        <w:t>,</w:t>
      </w:r>
      <w:r w:rsidR="004F5BF6" w:rsidRPr="005F1178">
        <w:rPr>
          <w:color w:val="FF0000"/>
        </w:rPr>
        <w:t xml:space="preserve"> не стоит, так как банки, с одной стороны, стараются выравнивать условия предоставляемых кредитных продуктов требованиям рынка, а с другой – проводят активную политику «удержания» действующих клиентов путем предоставления различных льгот и программ лояльности. Наиболее эффективными стратегиями борьбы за клиентов малого бизнеса в 2012</w:t>
      </w:r>
      <w:r>
        <w:rPr>
          <w:color w:val="FF0000"/>
        </w:rPr>
        <w:t xml:space="preserve"> </w:t>
      </w:r>
      <w:r w:rsidR="004F5BF6" w:rsidRPr="005F1178">
        <w:rPr>
          <w:color w:val="FF0000"/>
        </w:rPr>
        <w:t>г</w:t>
      </w:r>
      <w:r>
        <w:rPr>
          <w:color w:val="FF0000"/>
        </w:rPr>
        <w:t>оду</w:t>
      </w:r>
      <w:r w:rsidR="004F5BF6" w:rsidRPr="005F1178">
        <w:rPr>
          <w:color w:val="FF0000"/>
        </w:rPr>
        <w:t xml:space="preserve"> был</w:t>
      </w:r>
      <w:r>
        <w:rPr>
          <w:color w:val="FF0000"/>
        </w:rPr>
        <w:t>и</w:t>
      </w:r>
      <w:r w:rsidR="004F5BF6" w:rsidRPr="005F1178">
        <w:rPr>
          <w:color w:val="FF0000"/>
        </w:rPr>
        <w:t xml:space="preserve"> либерализация требований к заемщикам и условий кредитных продуктов, различные программы лояльности для повторных клиентов, агрессивная ценовая политика отдельных игроков рынка, вывод новых кредитных продуктов.</w:t>
      </w:r>
    </w:p>
    <w:p w:rsidR="004F5BF6" w:rsidRPr="005F1178" w:rsidRDefault="00B955C9" w:rsidP="004F5BF6">
      <w:pPr>
        <w:numPr>
          <w:ilvl w:val="0"/>
          <w:numId w:val="1"/>
        </w:numPr>
        <w:spacing w:after="0" w:line="360" w:lineRule="auto"/>
        <w:jc w:val="both"/>
      </w:pPr>
      <w:r>
        <w:t xml:space="preserve">– </w:t>
      </w:r>
      <w:r w:rsidR="004F5BF6" w:rsidRPr="005F1178">
        <w:t xml:space="preserve">Наблюдались ли в 2012 году значимые изменения в </w:t>
      </w:r>
      <w:proofErr w:type="gramStart"/>
      <w:r w:rsidR="004F5BF6" w:rsidRPr="005F1178">
        <w:t>риск-менеджменте</w:t>
      </w:r>
      <w:proofErr w:type="gramEnd"/>
      <w:r w:rsidR="004F5BF6" w:rsidRPr="005F1178">
        <w:t xml:space="preserve"> МСБ? Н</w:t>
      </w:r>
      <w:smartTag w:uri="urn:schemas-microsoft-com:office:smarttags" w:element="PersonName">
        <w:r w:rsidR="004F5BF6" w:rsidRPr="005F1178">
          <w:t>а</w:t>
        </w:r>
      </w:smartTag>
      <w:r w:rsidR="004F5BF6" w:rsidRPr="005F1178">
        <w:t xml:space="preserve">сколько </w:t>
      </w:r>
      <w:smartTag w:uri="urn:schemas-microsoft-com:office:smarttags" w:element="PersonName">
        <w:r w:rsidR="004F5BF6" w:rsidRPr="005F1178">
          <w:t>а</w:t>
        </w:r>
      </w:smartTag>
      <w:r w:rsidR="004F5BF6" w:rsidRPr="005F1178">
        <w:t>ктивно б</w:t>
      </w:r>
      <w:smartTag w:uri="urn:schemas-microsoft-com:office:smarttags" w:element="PersonName">
        <w:r w:rsidR="004F5BF6" w:rsidRPr="005F1178">
          <w:t>а</w:t>
        </w:r>
      </w:smartTag>
      <w:r w:rsidR="004F5BF6" w:rsidRPr="005F1178">
        <w:t xml:space="preserve">нки используют </w:t>
      </w:r>
      <w:proofErr w:type="spellStart"/>
      <w:r w:rsidR="004F5BF6" w:rsidRPr="005F1178">
        <w:t>скоринговые</w:t>
      </w:r>
      <w:proofErr w:type="spellEnd"/>
      <w:r w:rsidR="004F5BF6" w:rsidRPr="005F1178">
        <w:t xml:space="preserve"> модели при кредитов</w:t>
      </w:r>
      <w:smartTag w:uri="urn:schemas-microsoft-com:office:smarttags" w:element="PersonName">
        <w:r w:rsidR="004F5BF6" w:rsidRPr="005F1178">
          <w:t>а</w:t>
        </w:r>
      </w:smartTag>
      <w:r w:rsidR="004F5BF6" w:rsidRPr="005F1178">
        <w:t xml:space="preserve">нии МСБ? Изменилась ли политика </w:t>
      </w:r>
      <w:r>
        <w:t>в</w:t>
      </w:r>
      <w:r w:rsidR="004F5BF6" w:rsidRPr="005F1178">
        <w:t xml:space="preserve">ашего </w:t>
      </w:r>
      <w:r>
        <w:t>б</w:t>
      </w:r>
      <w:r w:rsidR="004F5BF6" w:rsidRPr="005F1178">
        <w:t>анка в отношении обеспечения по кредитам?</w:t>
      </w:r>
    </w:p>
    <w:p w:rsidR="004F5BF6" w:rsidRPr="005F1178" w:rsidRDefault="00B955C9" w:rsidP="004F5BF6">
      <w:pPr>
        <w:spacing w:line="360" w:lineRule="auto"/>
        <w:ind w:left="720"/>
        <w:jc w:val="both"/>
      </w:pPr>
      <w:r>
        <w:rPr>
          <w:color w:val="FF0000"/>
        </w:rPr>
        <w:t>– В</w:t>
      </w:r>
      <w:r w:rsidR="004F5BF6" w:rsidRPr="005F1178">
        <w:rPr>
          <w:color w:val="FF0000"/>
        </w:rPr>
        <w:t xml:space="preserve"> 2012</w:t>
      </w:r>
      <w:r>
        <w:rPr>
          <w:color w:val="FF0000"/>
        </w:rPr>
        <w:t xml:space="preserve"> </w:t>
      </w:r>
      <w:r w:rsidR="004F5BF6" w:rsidRPr="005F1178">
        <w:rPr>
          <w:color w:val="FF0000"/>
        </w:rPr>
        <w:t>г</w:t>
      </w:r>
      <w:r>
        <w:rPr>
          <w:color w:val="FF0000"/>
        </w:rPr>
        <w:t>оду</w:t>
      </w:r>
      <w:r w:rsidR="004F5BF6" w:rsidRPr="005F1178">
        <w:rPr>
          <w:color w:val="FF0000"/>
        </w:rPr>
        <w:t xml:space="preserve"> банки продолжили развитие </w:t>
      </w:r>
      <w:proofErr w:type="spellStart"/>
      <w:r w:rsidR="004F5BF6" w:rsidRPr="005F1178">
        <w:rPr>
          <w:color w:val="FF0000"/>
        </w:rPr>
        <w:t>скоринговых</w:t>
      </w:r>
      <w:proofErr w:type="spellEnd"/>
      <w:r w:rsidR="004F5BF6" w:rsidRPr="005F1178">
        <w:rPr>
          <w:color w:val="FF0000"/>
        </w:rPr>
        <w:t xml:space="preserve"> технологий кредитования клиентов </w:t>
      </w:r>
      <w:proofErr w:type="spellStart"/>
      <w:r w:rsidR="004F5BF6" w:rsidRPr="005F1178">
        <w:rPr>
          <w:color w:val="FF0000"/>
        </w:rPr>
        <w:t>микробизнеса</w:t>
      </w:r>
      <w:proofErr w:type="spellEnd"/>
      <w:r w:rsidR="004F5BF6" w:rsidRPr="005F1178">
        <w:rPr>
          <w:color w:val="FF0000"/>
        </w:rPr>
        <w:t xml:space="preserve"> как наиболее удобных для клиентов с точки </w:t>
      </w:r>
      <w:proofErr w:type="gramStart"/>
      <w:r w:rsidR="004F5BF6" w:rsidRPr="005F1178">
        <w:rPr>
          <w:color w:val="FF0000"/>
        </w:rPr>
        <w:t>зрения</w:t>
      </w:r>
      <w:proofErr w:type="gramEnd"/>
      <w:r w:rsidR="004F5BF6" w:rsidRPr="005F1178">
        <w:rPr>
          <w:color w:val="FF0000"/>
        </w:rPr>
        <w:t xml:space="preserve"> как скорости получения кредитов, так и объема предоставляемых документов. Так</w:t>
      </w:r>
      <w:r>
        <w:rPr>
          <w:color w:val="FF0000"/>
        </w:rPr>
        <w:t>,</w:t>
      </w:r>
      <w:r w:rsidR="004F5BF6" w:rsidRPr="005F1178">
        <w:rPr>
          <w:color w:val="FF0000"/>
        </w:rPr>
        <w:t xml:space="preserve"> </w:t>
      </w:r>
      <w:r>
        <w:rPr>
          <w:color w:val="FF0000"/>
        </w:rPr>
        <w:t>«</w:t>
      </w:r>
      <w:r w:rsidR="004F5BF6" w:rsidRPr="005F1178">
        <w:rPr>
          <w:color w:val="FF0000"/>
        </w:rPr>
        <w:t>Сбербанк России</w:t>
      </w:r>
      <w:r>
        <w:rPr>
          <w:color w:val="FF0000"/>
        </w:rPr>
        <w:t>»</w:t>
      </w:r>
      <w:r w:rsidR="004F5BF6" w:rsidRPr="005F1178">
        <w:rPr>
          <w:color w:val="FF0000"/>
        </w:rPr>
        <w:t xml:space="preserve"> расширил линейку кредитных продуктов, предоставляемых по технологии «Кредитная фабрика» до 3-х. Н</w:t>
      </w:r>
      <w:smartTag w:uri="urn:schemas-microsoft-com:office:smarttags" w:element="PersonName">
        <w:r w:rsidR="004F5BF6" w:rsidRPr="005F1178">
          <w:rPr>
            <w:color w:val="FF0000"/>
          </w:rPr>
          <w:t>а</w:t>
        </w:r>
      </w:smartTag>
      <w:r w:rsidR="004F5BF6" w:rsidRPr="005F1178">
        <w:rPr>
          <w:color w:val="FF0000"/>
        </w:rPr>
        <w:t>ряду с «Кредитом «Доверие» по д</w:t>
      </w:r>
      <w:smartTag w:uri="urn:schemas-microsoft-com:office:smarttags" w:element="PersonName">
        <w:r w:rsidR="004F5BF6" w:rsidRPr="005F1178">
          <w:rPr>
            <w:color w:val="FF0000"/>
          </w:rPr>
          <w:t>а</w:t>
        </w:r>
      </w:smartTag>
      <w:r w:rsidR="004F5BF6" w:rsidRPr="005F1178">
        <w:rPr>
          <w:color w:val="FF0000"/>
        </w:rPr>
        <w:t>нной технологии ст</w:t>
      </w:r>
      <w:smartTag w:uri="urn:schemas-microsoft-com:office:smarttags" w:element="PersonName">
        <w:r w:rsidR="004F5BF6" w:rsidRPr="005F1178">
          <w:rPr>
            <w:color w:val="FF0000"/>
          </w:rPr>
          <w:t>а</w:t>
        </w:r>
      </w:smartTag>
      <w:r w:rsidR="004F5BF6" w:rsidRPr="005F1178">
        <w:rPr>
          <w:color w:val="FF0000"/>
        </w:rPr>
        <w:t>ли выд</w:t>
      </w:r>
      <w:smartTag w:uri="urn:schemas-microsoft-com:office:smarttags" w:element="PersonName">
        <w:r w:rsidR="004F5BF6" w:rsidRPr="005F1178">
          <w:rPr>
            <w:color w:val="FF0000"/>
          </w:rPr>
          <w:t>а</w:t>
        </w:r>
      </w:smartTag>
      <w:r w:rsidR="004F5BF6" w:rsidRPr="005F1178">
        <w:rPr>
          <w:color w:val="FF0000"/>
        </w:rPr>
        <w:t>в</w:t>
      </w:r>
      <w:smartTag w:uri="urn:schemas-microsoft-com:office:smarttags" w:element="PersonName">
        <w:r w:rsidR="004F5BF6" w:rsidRPr="005F1178">
          <w:rPr>
            <w:color w:val="FF0000"/>
          </w:rPr>
          <w:t>а</w:t>
        </w:r>
      </w:smartTag>
      <w:r w:rsidR="004F5BF6" w:rsidRPr="005F1178">
        <w:rPr>
          <w:color w:val="FF0000"/>
        </w:rPr>
        <w:t>ться еще 2 продукт</w:t>
      </w:r>
      <w:smartTag w:uri="urn:schemas-microsoft-com:office:smarttags" w:element="PersonName">
        <w:r w:rsidR="004F5BF6" w:rsidRPr="005F1178">
          <w:rPr>
            <w:color w:val="FF0000"/>
          </w:rPr>
          <w:t>а</w:t>
        </w:r>
      </w:smartTag>
      <w:r w:rsidR="004F5BF6" w:rsidRPr="005F1178">
        <w:rPr>
          <w:color w:val="FF0000"/>
        </w:rPr>
        <w:t xml:space="preserve"> – «Экспресс-</w:t>
      </w:r>
      <w:smartTag w:uri="urn:schemas-microsoft-com:office:smarttags" w:element="PersonName">
        <w:r w:rsidR="004F5BF6" w:rsidRPr="005F1178">
          <w:rPr>
            <w:color w:val="FF0000"/>
          </w:rPr>
          <w:t>а</w:t>
        </w:r>
      </w:smartTag>
      <w:r w:rsidR="004F5BF6" w:rsidRPr="005F1178">
        <w:rPr>
          <w:color w:val="FF0000"/>
        </w:rPr>
        <w:t>вто» и «Экспресс-</w:t>
      </w:r>
      <w:smartTag w:uri="urn:schemas-microsoft-com:office:smarttags" w:element="PersonName">
        <w:r w:rsidR="004F5BF6" w:rsidRPr="005F1178">
          <w:rPr>
            <w:color w:val="FF0000"/>
          </w:rPr>
          <w:t>а</w:t>
        </w:r>
      </w:smartTag>
      <w:r w:rsidR="004F5BF6" w:rsidRPr="005F1178">
        <w:rPr>
          <w:color w:val="FF0000"/>
        </w:rPr>
        <w:t xml:space="preserve">ктив». </w:t>
      </w:r>
      <w:proofErr w:type="gramStart"/>
      <w:r w:rsidR="004F5BF6" w:rsidRPr="005F1178">
        <w:rPr>
          <w:color w:val="FF0000"/>
        </w:rPr>
        <w:t>Последний</w:t>
      </w:r>
      <w:proofErr w:type="gramEnd"/>
      <w:r w:rsidR="004F5BF6" w:rsidRPr="005F1178">
        <w:rPr>
          <w:color w:val="FF0000"/>
        </w:rPr>
        <w:t xml:space="preserve"> проходит тестиров</w:t>
      </w:r>
      <w:smartTag w:uri="urn:schemas-microsoft-com:office:smarttags" w:element="PersonName">
        <w:r w:rsidR="004F5BF6" w:rsidRPr="005F1178">
          <w:rPr>
            <w:color w:val="FF0000"/>
          </w:rPr>
          <w:t>а</w:t>
        </w:r>
      </w:smartTag>
      <w:r w:rsidR="004F5BF6" w:rsidRPr="005F1178">
        <w:rPr>
          <w:color w:val="FF0000"/>
        </w:rPr>
        <w:t>ние в «пилотном» режиме. Кроме того, многие б</w:t>
      </w:r>
      <w:smartTag w:uri="urn:schemas-microsoft-com:office:smarttags" w:element="PersonName">
        <w:r w:rsidR="004F5BF6" w:rsidRPr="005F1178">
          <w:rPr>
            <w:color w:val="FF0000"/>
          </w:rPr>
          <w:t>а</w:t>
        </w:r>
      </w:smartTag>
      <w:r w:rsidR="004F5BF6" w:rsidRPr="005F1178">
        <w:rPr>
          <w:color w:val="FF0000"/>
        </w:rPr>
        <w:t>нки н</w:t>
      </w:r>
      <w:smartTag w:uri="urn:schemas-microsoft-com:office:smarttags" w:element="PersonName">
        <w:r w:rsidR="004F5BF6" w:rsidRPr="005F1178">
          <w:rPr>
            <w:color w:val="FF0000"/>
          </w:rPr>
          <w:t>а</w:t>
        </w:r>
      </w:smartTag>
      <w:r w:rsidR="004F5BF6" w:rsidRPr="005F1178">
        <w:rPr>
          <w:color w:val="FF0000"/>
        </w:rPr>
        <w:t>ч</w:t>
      </w:r>
      <w:smartTag w:uri="urn:schemas-microsoft-com:office:smarttags" w:element="PersonName">
        <w:r w:rsidR="004F5BF6" w:rsidRPr="005F1178">
          <w:rPr>
            <w:color w:val="FF0000"/>
          </w:rPr>
          <w:t>а</w:t>
        </w:r>
      </w:smartTag>
      <w:r w:rsidR="004F5BF6" w:rsidRPr="005F1178">
        <w:rPr>
          <w:color w:val="FF0000"/>
        </w:rPr>
        <w:t>ли внедрять рейтинговые модели оценки риск</w:t>
      </w:r>
      <w:smartTag w:uri="urn:schemas-microsoft-com:office:smarttags" w:element="PersonName">
        <w:r w:rsidR="004F5BF6" w:rsidRPr="005F1178">
          <w:rPr>
            <w:color w:val="FF0000"/>
          </w:rPr>
          <w:t>а</w:t>
        </w:r>
      </w:smartTag>
      <w:r w:rsidR="004F5BF6" w:rsidRPr="005F1178">
        <w:rPr>
          <w:color w:val="FF0000"/>
        </w:rPr>
        <w:t xml:space="preserve"> для более крупных предст</w:t>
      </w:r>
      <w:smartTag w:uri="urn:schemas-microsoft-com:office:smarttags" w:element="PersonName">
        <w:r w:rsidR="004F5BF6" w:rsidRPr="005F1178">
          <w:rPr>
            <w:color w:val="FF0000"/>
          </w:rPr>
          <w:t>а</w:t>
        </w:r>
      </w:smartTag>
      <w:r w:rsidR="004F5BF6" w:rsidRPr="005F1178">
        <w:rPr>
          <w:color w:val="FF0000"/>
        </w:rPr>
        <w:t>вителей м</w:t>
      </w:r>
      <w:smartTag w:uri="urn:schemas-microsoft-com:office:smarttags" w:element="PersonName">
        <w:r w:rsidR="004F5BF6" w:rsidRPr="005F1178">
          <w:rPr>
            <w:color w:val="FF0000"/>
          </w:rPr>
          <w:t>а</w:t>
        </w:r>
      </w:smartTag>
      <w:r w:rsidR="004F5BF6" w:rsidRPr="005F1178">
        <w:rPr>
          <w:color w:val="FF0000"/>
        </w:rPr>
        <w:t>лого бизнес</w:t>
      </w:r>
      <w:smartTag w:uri="urn:schemas-microsoft-com:office:smarttags" w:element="PersonName">
        <w:r w:rsidR="004F5BF6" w:rsidRPr="005F1178">
          <w:rPr>
            <w:color w:val="FF0000"/>
          </w:rPr>
          <w:t>а</w:t>
        </w:r>
      </w:smartTag>
      <w:r w:rsidR="004F5BF6" w:rsidRPr="005F1178">
        <w:rPr>
          <w:color w:val="FF0000"/>
        </w:rPr>
        <w:t>. Они позволят повысить объективность оценки фин</w:t>
      </w:r>
      <w:smartTag w:uri="urn:schemas-microsoft-com:office:smarttags" w:element="PersonName">
        <w:r w:rsidR="004F5BF6" w:rsidRPr="005F1178">
          <w:rPr>
            <w:color w:val="FF0000"/>
          </w:rPr>
          <w:t>а</w:t>
        </w:r>
      </w:smartTag>
      <w:r w:rsidR="004F5BF6" w:rsidRPr="005F1178">
        <w:rPr>
          <w:color w:val="FF0000"/>
        </w:rPr>
        <w:t>нсового состояния з</w:t>
      </w:r>
      <w:smartTag w:uri="urn:schemas-microsoft-com:office:smarttags" w:element="PersonName">
        <w:r w:rsidR="004F5BF6" w:rsidRPr="005F1178">
          <w:rPr>
            <w:color w:val="FF0000"/>
          </w:rPr>
          <w:t>а</w:t>
        </w:r>
      </w:smartTag>
      <w:r w:rsidR="004F5BF6" w:rsidRPr="005F1178">
        <w:rPr>
          <w:color w:val="FF0000"/>
        </w:rPr>
        <w:t>емщик</w:t>
      </w:r>
      <w:smartTag w:uri="urn:schemas-microsoft-com:office:smarttags" w:element="PersonName">
        <w:r w:rsidR="004F5BF6" w:rsidRPr="005F1178">
          <w:rPr>
            <w:color w:val="FF0000"/>
          </w:rPr>
          <w:t>а</w:t>
        </w:r>
      </w:smartTag>
      <w:r w:rsidR="004F5BF6" w:rsidRPr="005F1178">
        <w:rPr>
          <w:color w:val="FF0000"/>
        </w:rPr>
        <w:t>, гибко упр</w:t>
      </w:r>
      <w:smartTag w:uri="urn:schemas-microsoft-com:office:smarttags" w:element="PersonName">
        <w:r w:rsidR="004F5BF6" w:rsidRPr="005F1178">
          <w:rPr>
            <w:color w:val="FF0000"/>
          </w:rPr>
          <w:t>а</w:t>
        </w:r>
      </w:smartTag>
      <w:r w:rsidR="004F5BF6" w:rsidRPr="005F1178">
        <w:rPr>
          <w:color w:val="FF0000"/>
        </w:rPr>
        <w:t xml:space="preserve">влять риском, </w:t>
      </w:r>
      <w:smartTag w:uri="urn:schemas-microsoft-com:office:smarttags" w:element="PersonName">
        <w:r w:rsidR="004F5BF6" w:rsidRPr="005F1178">
          <w:rPr>
            <w:color w:val="FF0000"/>
          </w:rPr>
          <w:t>а</w:t>
        </w:r>
      </w:smartTag>
      <w:r w:rsidR="004F5BF6" w:rsidRPr="005F1178">
        <w:rPr>
          <w:color w:val="FF0000"/>
        </w:rPr>
        <w:t xml:space="preserve"> т</w:t>
      </w:r>
      <w:smartTag w:uri="urn:schemas-microsoft-com:office:smarttags" w:element="PersonName">
        <w:r w:rsidR="004F5BF6" w:rsidRPr="005F1178">
          <w:rPr>
            <w:color w:val="FF0000"/>
          </w:rPr>
          <w:t>а</w:t>
        </w:r>
      </w:smartTag>
      <w:r w:rsidR="004F5BF6" w:rsidRPr="005F1178">
        <w:rPr>
          <w:color w:val="FF0000"/>
        </w:rPr>
        <w:t>кже диверсифициров</w:t>
      </w:r>
      <w:smartTag w:uri="urn:schemas-microsoft-com:office:smarttags" w:element="PersonName">
        <w:r w:rsidR="004F5BF6" w:rsidRPr="005F1178">
          <w:rPr>
            <w:color w:val="FF0000"/>
          </w:rPr>
          <w:t>а</w:t>
        </w:r>
      </w:smartTag>
      <w:r w:rsidR="004F5BF6" w:rsidRPr="005F1178">
        <w:rPr>
          <w:color w:val="FF0000"/>
        </w:rPr>
        <w:t>ть ценовые условия кредитов для р</w:t>
      </w:r>
      <w:smartTag w:uri="urn:schemas-microsoft-com:office:smarttags" w:element="PersonName">
        <w:r w:rsidR="004F5BF6" w:rsidRPr="005F1178">
          <w:rPr>
            <w:color w:val="FF0000"/>
          </w:rPr>
          <w:t>а</w:t>
        </w:r>
      </w:smartTag>
      <w:r w:rsidR="004F5BF6" w:rsidRPr="005F1178">
        <w:rPr>
          <w:color w:val="FF0000"/>
        </w:rPr>
        <w:t>зличных к</w:t>
      </w:r>
      <w:smartTag w:uri="urn:schemas-microsoft-com:office:smarttags" w:element="PersonName">
        <w:r w:rsidR="004F5BF6" w:rsidRPr="005F1178">
          <w:rPr>
            <w:color w:val="FF0000"/>
          </w:rPr>
          <w:t>а</w:t>
        </w:r>
      </w:smartTag>
      <w:r w:rsidR="004F5BF6" w:rsidRPr="005F1178">
        <w:rPr>
          <w:color w:val="FF0000"/>
        </w:rPr>
        <w:t>тегорий клиентов. В 2012</w:t>
      </w:r>
      <w:r>
        <w:rPr>
          <w:color w:val="FF0000"/>
        </w:rPr>
        <w:t xml:space="preserve"> </w:t>
      </w:r>
      <w:r w:rsidR="004F5BF6" w:rsidRPr="005F1178">
        <w:rPr>
          <w:color w:val="FF0000"/>
        </w:rPr>
        <w:t>г</w:t>
      </w:r>
      <w:r>
        <w:rPr>
          <w:color w:val="FF0000"/>
        </w:rPr>
        <w:t>оду</w:t>
      </w:r>
      <w:r w:rsidR="004F5BF6" w:rsidRPr="005F1178">
        <w:rPr>
          <w:color w:val="FF0000"/>
        </w:rPr>
        <w:t xml:space="preserve"> </w:t>
      </w:r>
      <w:r>
        <w:rPr>
          <w:color w:val="FF0000"/>
        </w:rPr>
        <w:t>«</w:t>
      </w:r>
      <w:r w:rsidR="004F5BF6" w:rsidRPr="005F1178">
        <w:rPr>
          <w:color w:val="FF0000"/>
        </w:rPr>
        <w:t>Сбербанк</w:t>
      </w:r>
      <w:r>
        <w:rPr>
          <w:color w:val="FF0000"/>
        </w:rPr>
        <w:t xml:space="preserve"> России»</w:t>
      </w:r>
      <w:r w:rsidR="004F5BF6" w:rsidRPr="005F1178">
        <w:rPr>
          <w:color w:val="FF0000"/>
        </w:rPr>
        <w:t xml:space="preserve"> несколько </w:t>
      </w:r>
      <w:proofErr w:type="spellStart"/>
      <w:r w:rsidR="004F5BF6" w:rsidRPr="005F1178">
        <w:rPr>
          <w:color w:val="FF0000"/>
        </w:rPr>
        <w:t>либерализовал</w:t>
      </w:r>
      <w:proofErr w:type="spellEnd"/>
      <w:r w:rsidR="004F5BF6" w:rsidRPr="005F1178">
        <w:rPr>
          <w:color w:val="FF0000"/>
        </w:rPr>
        <w:t xml:space="preserve"> требования к объему предоставляемого по кредитам малому бизнесу обеспечения. Так, максимальная сумма </w:t>
      </w:r>
      <w:proofErr w:type="spellStart"/>
      <w:r w:rsidR="004F5BF6" w:rsidRPr="005F1178">
        <w:rPr>
          <w:color w:val="FF0000"/>
        </w:rPr>
        <w:t>беззалогового</w:t>
      </w:r>
      <w:proofErr w:type="spellEnd"/>
      <w:r w:rsidR="004F5BF6" w:rsidRPr="005F1178">
        <w:rPr>
          <w:color w:val="FF0000"/>
        </w:rPr>
        <w:t xml:space="preserve"> «Кредита «Доверия» выросла до 3-х </w:t>
      </w:r>
      <w:proofErr w:type="gramStart"/>
      <w:r w:rsidR="004F5BF6" w:rsidRPr="005F1178">
        <w:rPr>
          <w:color w:val="FF0000"/>
        </w:rPr>
        <w:t>млн</w:t>
      </w:r>
      <w:proofErr w:type="gramEnd"/>
      <w:r w:rsidR="004F5BF6" w:rsidRPr="005F1178">
        <w:rPr>
          <w:color w:val="FF0000"/>
        </w:rPr>
        <w:t xml:space="preserve"> руб</w:t>
      </w:r>
      <w:r>
        <w:rPr>
          <w:color w:val="FF0000"/>
        </w:rPr>
        <w:t>лей</w:t>
      </w:r>
      <w:r w:rsidR="004F5BF6" w:rsidRPr="005F1178">
        <w:rPr>
          <w:color w:val="FF0000"/>
        </w:rPr>
        <w:t xml:space="preserve">, по кредиту «Госзаказ» смягчились требования к сумме кредита, обеспеченной правами требования по </w:t>
      </w:r>
      <w:proofErr w:type="spellStart"/>
      <w:r w:rsidR="004F5BF6" w:rsidRPr="005F1178">
        <w:rPr>
          <w:color w:val="FF0000"/>
        </w:rPr>
        <w:t>госконтракту</w:t>
      </w:r>
      <w:proofErr w:type="spellEnd"/>
      <w:r w:rsidR="004F5BF6" w:rsidRPr="005F1178">
        <w:rPr>
          <w:color w:val="FF0000"/>
        </w:rPr>
        <w:t xml:space="preserve"> (увеличилась с 5 до 10 млн руб</w:t>
      </w:r>
      <w:r>
        <w:rPr>
          <w:color w:val="FF0000"/>
        </w:rPr>
        <w:t>лей</w:t>
      </w:r>
      <w:r w:rsidR="004F5BF6" w:rsidRPr="005F1178">
        <w:rPr>
          <w:color w:val="FF0000"/>
        </w:rPr>
        <w:t xml:space="preserve">). </w:t>
      </w:r>
    </w:p>
    <w:p w:rsidR="004F5BF6" w:rsidRPr="005F1178" w:rsidRDefault="004F5BF6" w:rsidP="004F5BF6">
      <w:pPr>
        <w:spacing w:line="360" w:lineRule="auto"/>
        <w:ind w:left="720"/>
        <w:jc w:val="both"/>
      </w:pPr>
    </w:p>
    <w:p w:rsidR="004F5BF6" w:rsidRPr="005F1178" w:rsidRDefault="00B955C9" w:rsidP="004F5BF6">
      <w:pPr>
        <w:numPr>
          <w:ilvl w:val="0"/>
          <w:numId w:val="1"/>
        </w:numPr>
        <w:spacing w:after="0" w:line="360" w:lineRule="auto"/>
        <w:jc w:val="both"/>
      </w:pPr>
      <w:r>
        <w:lastRenderedPageBreak/>
        <w:t xml:space="preserve">– </w:t>
      </w:r>
      <w:r w:rsidR="004F5BF6" w:rsidRPr="005F1178">
        <w:t>Дайте свой прогноз по темпам роста кредитного портфеля МСБ по банковской системе до конца 2013 года и в 2014 году. Выделите ключевые др</w:t>
      </w:r>
      <w:smartTag w:uri="urn:schemas-microsoft-com:office:smarttags" w:element="PersonName">
        <w:r w:rsidR="004F5BF6" w:rsidRPr="005F1178">
          <w:t>а</w:t>
        </w:r>
      </w:smartTag>
      <w:r w:rsidR="004F5BF6" w:rsidRPr="005F1178">
        <w:t>йверы и огр</w:t>
      </w:r>
      <w:smartTag w:uri="urn:schemas-microsoft-com:office:smarttags" w:element="PersonName">
        <w:r w:rsidR="004F5BF6" w:rsidRPr="005F1178">
          <w:t>а</w:t>
        </w:r>
      </w:smartTag>
      <w:r w:rsidR="004F5BF6" w:rsidRPr="005F1178">
        <w:t>ничители рост</w:t>
      </w:r>
      <w:smartTag w:uri="urn:schemas-microsoft-com:office:smarttags" w:element="PersonName">
        <w:r w:rsidR="004F5BF6" w:rsidRPr="005F1178">
          <w:t>а</w:t>
        </w:r>
      </w:smartTag>
      <w:r w:rsidR="004F5BF6" w:rsidRPr="005F1178">
        <w:t>.</w:t>
      </w:r>
    </w:p>
    <w:p w:rsidR="004F5BF6" w:rsidRPr="005F1178" w:rsidRDefault="00B955C9" w:rsidP="004F5BF6">
      <w:pPr>
        <w:spacing w:line="360" w:lineRule="auto"/>
        <w:ind w:left="720"/>
        <w:jc w:val="both"/>
        <w:rPr>
          <w:color w:val="FF0000"/>
        </w:rPr>
      </w:pPr>
      <w:r>
        <w:rPr>
          <w:color w:val="FF0000"/>
        </w:rPr>
        <w:t>– П</w:t>
      </w:r>
      <w:r w:rsidR="004F5BF6" w:rsidRPr="005F1178">
        <w:rPr>
          <w:color w:val="FF0000"/>
        </w:rPr>
        <w:t>ортфель кредитов МСБ в 2013</w:t>
      </w:r>
      <w:r>
        <w:rPr>
          <w:color w:val="FF0000"/>
        </w:rPr>
        <w:t xml:space="preserve"> </w:t>
      </w:r>
      <w:r w:rsidR="004F5BF6" w:rsidRPr="005F1178">
        <w:rPr>
          <w:color w:val="FF0000"/>
        </w:rPr>
        <w:t>г</w:t>
      </w:r>
      <w:r>
        <w:rPr>
          <w:color w:val="FF0000"/>
        </w:rPr>
        <w:t>оду</w:t>
      </w:r>
      <w:r w:rsidR="004F5BF6" w:rsidRPr="005F1178">
        <w:rPr>
          <w:color w:val="FF0000"/>
        </w:rPr>
        <w:t xml:space="preserve"> продолжит расти и</w:t>
      </w:r>
      <w:r>
        <w:rPr>
          <w:color w:val="FF0000"/>
        </w:rPr>
        <w:t>,</w:t>
      </w:r>
      <w:r w:rsidR="004F5BF6" w:rsidRPr="005F1178">
        <w:rPr>
          <w:color w:val="FF0000"/>
        </w:rPr>
        <w:t xml:space="preserve"> по предварительным оценкам, сохранит текущие темпы роста в 15-18% в годовом выражении. При этом основным др</w:t>
      </w:r>
      <w:smartTag w:uri="urn:schemas-microsoft-com:office:smarttags" w:element="PersonName">
        <w:r w:rsidR="004F5BF6" w:rsidRPr="005F1178">
          <w:rPr>
            <w:color w:val="FF0000"/>
          </w:rPr>
          <w:t>а</w:t>
        </w:r>
      </w:smartTag>
      <w:r w:rsidR="004F5BF6" w:rsidRPr="005F1178">
        <w:rPr>
          <w:color w:val="FF0000"/>
        </w:rPr>
        <w:t>йвером рост</w:t>
      </w:r>
      <w:smartTag w:uri="urn:schemas-microsoft-com:office:smarttags" w:element="PersonName">
        <w:r w:rsidR="004F5BF6" w:rsidRPr="005F1178">
          <w:rPr>
            <w:color w:val="FF0000"/>
          </w:rPr>
          <w:t>а</w:t>
        </w:r>
      </w:smartTag>
      <w:r w:rsidR="004F5BF6" w:rsidRPr="005F1178">
        <w:rPr>
          <w:color w:val="FF0000"/>
        </w:rPr>
        <w:t xml:space="preserve"> будет являться увеличение доступности фин</w:t>
      </w:r>
      <w:smartTag w:uri="urn:schemas-microsoft-com:office:smarttags" w:element="PersonName">
        <w:r w:rsidR="004F5BF6" w:rsidRPr="005F1178">
          <w:rPr>
            <w:color w:val="FF0000"/>
          </w:rPr>
          <w:t>а</w:t>
        </w:r>
      </w:smartTag>
      <w:r w:rsidR="004F5BF6" w:rsidRPr="005F1178">
        <w:rPr>
          <w:color w:val="FF0000"/>
        </w:rPr>
        <w:t>нсовых ресурсов, предл</w:t>
      </w:r>
      <w:smartTag w:uri="urn:schemas-microsoft-com:office:smarttags" w:element="PersonName">
        <w:r w:rsidR="004F5BF6" w:rsidRPr="005F1178">
          <w:rPr>
            <w:color w:val="FF0000"/>
          </w:rPr>
          <w:t>а</w:t>
        </w:r>
      </w:smartTag>
      <w:r w:rsidR="004F5BF6" w:rsidRPr="005F1178">
        <w:rPr>
          <w:color w:val="FF0000"/>
        </w:rPr>
        <w:t>г</w:t>
      </w:r>
      <w:smartTag w:uri="urn:schemas-microsoft-com:office:smarttags" w:element="PersonName">
        <w:r w:rsidR="004F5BF6" w:rsidRPr="005F1178">
          <w:rPr>
            <w:color w:val="FF0000"/>
          </w:rPr>
          <w:t>а</w:t>
        </w:r>
      </w:smartTag>
      <w:r w:rsidR="004F5BF6" w:rsidRPr="005F1178">
        <w:rPr>
          <w:color w:val="FF0000"/>
        </w:rPr>
        <w:t>емых основными игрок</w:t>
      </w:r>
      <w:smartTag w:uri="urn:schemas-microsoft-com:office:smarttags" w:element="PersonName">
        <w:r w:rsidR="004F5BF6" w:rsidRPr="005F1178">
          <w:rPr>
            <w:color w:val="FF0000"/>
          </w:rPr>
          <w:t>а</w:t>
        </w:r>
      </w:smartTag>
      <w:r w:rsidR="004F5BF6" w:rsidRPr="005F1178">
        <w:rPr>
          <w:color w:val="FF0000"/>
        </w:rPr>
        <w:t>ми рынк</w:t>
      </w:r>
      <w:smartTag w:uri="urn:schemas-microsoft-com:office:smarttags" w:element="PersonName">
        <w:r w:rsidR="004F5BF6" w:rsidRPr="005F1178">
          <w:rPr>
            <w:color w:val="FF0000"/>
          </w:rPr>
          <w:t>а</w:t>
        </w:r>
      </w:smartTag>
      <w:r w:rsidR="004F5BF6" w:rsidRPr="005F1178">
        <w:rPr>
          <w:color w:val="FF0000"/>
        </w:rPr>
        <w:t xml:space="preserve"> кредитов</w:t>
      </w:r>
      <w:smartTag w:uri="urn:schemas-microsoft-com:office:smarttags" w:element="PersonName">
        <w:r w:rsidR="004F5BF6" w:rsidRPr="005F1178">
          <w:rPr>
            <w:color w:val="FF0000"/>
          </w:rPr>
          <w:t>а</w:t>
        </w:r>
      </w:smartTag>
      <w:r w:rsidR="004F5BF6" w:rsidRPr="005F1178">
        <w:rPr>
          <w:color w:val="FF0000"/>
        </w:rPr>
        <w:t>ния. Речь, прежде всего, о либер</w:t>
      </w:r>
      <w:smartTag w:uri="urn:schemas-microsoft-com:office:smarttags" w:element="PersonName">
        <w:r w:rsidR="004F5BF6" w:rsidRPr="005F1178">
          <w:rPr>
            <w:color w:val="FF0000"/>
          </w:rPr>
          <w:t>а</w:t>
        </w:r>
      </w:smartTag>
      <w:r w:rsidR="004F5BF6" w:rsidRPr="005F1178">
        <w:rPr>
          <w:color w:val="FF0000"/>
        </w:rPr>
        <w:t>лиз</w:t>
      </w:r>
      <w:smartTag w:uri="urn:schemas-microsoft-com:office:smarttags" w:element="PersonName">
        <w:r w:rsidR="004F5BF6" w:rsidRPr="005F1178">
          <w:rPr>
            <w:color w:val="FF0000"/>
          </w:rPr>
          <w:t>а</w:t>
        </w:r>
      </w:smartTag>
      <w:r w:rsidR="004F5BF6" w:rsidRPr="005F1178">
        <w:rPr>
          <w:color w:val="FF0000"/>
        </w:rPr>
        <w:t>ции условий кредитных продуктов, требов</w:t>
      </w:r>
      <w:smartTag w:uri="urn:schemas-microsoft-com:office:smarttags" w:element="PersonName">
        <w:r w:rsidR="004F5BF6" w:rsidRPr="005F1178">
          <w:rPr>
            <w:color w:val="FF0000"/>
          </w:rPr>
          <w:t>а</w:t>
        </w:r>
      </w:smartTag>
      <w:r w:rsidR="004F5BF6" w:rsidRPr="005F1178">
        <w:rPr>
          <w:color w:val="FF0000"/>
        </w:rPr>
        <w:t>ний к з</w:t>
      </w:r>
      <w:smartTag w:uri="urn:schemas-microsoft-com:office:smarttags" w:element="PersonName">
        <w:r w:rsidR="004F5BF6" w:rsidRPr="005F1178">
          <w:rPr>
            <w:color w:val="FF0000"/>
          </w:rPr>
          <w:t>а</w:t>
        </w:r>
      </w:smartTag>
      <w:r w:rsidR="004F5BF6" w:rsidRPr="005F1178">
        <w:rPr>
          <w:color w:val="FF0000"/>
        </w:rPr>
        <w:t>емщик</w:t>
      </w:r>
      <w:smartTag w:uri="urn:schemas-microsoft-com:office:smarttags" w:element="PersonName">
        <w:r w:rsidR="004F5BF6" w:rsidRPr="005F1178">
          <w:rPr>
            <w:color w:val="FF0000"/>
          </w:rPr>
          <w:t>а</w:t>
        </w:r>
      </w:smartTag>
      <w:r w:rsidR="004F5BF6" w:rsidRPr="005F1178">
        <w:rPr>
          <w:color w:val="FF0000"/>
        </w:rPr>
        <w:t>м и процентных ст</w:t>
      </w:r>
      <w:smartTag w:uri="urn:schemas-microsoft-com:office:smarttags" w:element="PersonName">
        <w:r w:rsidR="004F5BF6" w:rsidRPr="005F1178">
          <w:rPr>
            <w:color w:val="FF0000"/>
          </w:rPr>
          <w:t>а</w:t>
        </w:r>
      </w:smartTag>
      <w:r w:rsidR="004F5BF6" w:rsidRPr="005F1178">
        <w:rPr>
          <w:color w:val="FF0000"/>
        </w:rPr>
        <w:t>вок по кредит</w:t>
      </w:r>
      <w:smartTag w:uri="urn:schemas-microsoft-com:office:smarttags" w:element="PersonName">
        <w:r w:rsidR="004F5BF6" w:rsidRPr="005F1178">
          <w:rPr>
            <w:color w:val="FF0000"/>
          </w:rPr>
          <w:t>а</w:t>
        </w:r>
      </w:smartTag>
      <w:r w:rsidR="004F5BF6" w:rsidRPr="005F1178">
        <w:rPr>
          <w:color w:val="FF0000"/>
        </w:rPr>
        <w:t xml:space="preserve">м. </w:t>
      </w:r>
      <w:proofErr w:type="gramStart"/>
      <w:r w:rsidR="004F5BF6" w:rsidRPr="005F1178">
        <w:rPr>
          <w:color w:val="FF0000"/>
        </w:rPr>
        <w:t xml:space="preserve">Реализуя свою стратегию развития отношений с малым бизнесом, ОАО «Сбербанк России» с 4 марта </w:t>
      </w:r>
      <w:smartTag w:uri="urn:schemas-microsoft-com:office:smarttags" w:element="metricconverter">
        <w:smartTagPr>
          <w:attr w:name="ProductID" w:val="2013 г"/>
        </w:smartTagPr>
        <w:r w:rsidR="004F5BF6" w:rsidRPr="005F1178">
          <w:rPr>
            <w:color w:val="FF0000"/>
          </w:rPr>
          <w:t>2013 г</w:t>
        </w:r>
        <w:r>
          <w:rPr>
            <w:color w:val="FF0000"/>
          </w:rPr>
          <w:t>ода</w:t>
        </w:r>
      </w:smartTag>
      <w:r w:rsidR="004F5BF6" w:rsidRPr="005F1178">
        <w:rPr>
          <w:color w:val="FF0000"/>
        </w:rPr>
        <w:t xml:space="preserve"> запустил акцию по отмене кредитных комиссий для малого бизнеса, а также снизил ставки кредитования в среднем на 0,5 – 1 п.</w:t>
      </w:r>
      <w:r>
        <w:rPr>
          <w:color w:val="FF0000"/>
        </w:rPr>
        <w:t xml:space="preserve"> </w:t>
      </w:r>
      <w:r w:rsidR="004F5BF6" w:rsidRPr="005F1178">
        <w:rPr>
          <w:color w:val="FF0000"/>
        </w:rPr>
        <w:t>п. В качестве сдерживающих факторов можно выделить проблему с наличием необходимой ликвидности у небольших коммерческих банков, а также возможное изменение стратегии управления рисками при</w:t>
      </w:r>
      <w:proofErr w:type="gramEnd"/>
      <w:r w:rsidR="004F5BF6" w:rsidRPr="005F1178">
        <w:rPr>
          <w:color w:val="FF0000"/>
        </w:rPr>
        <w:t xml:space="preserve"> </w:t>
      </w:r>
      <w:proofErr w:type="gramStart"/>
      <w:r w:rsidR="004F5BF6" w:rsidRPr="005F1178">
        <w:rPr>
          <w:color w:val="FF0000"/>
        </w:rPr>
        <w:t>кредитовании</w:t>
      </w:r>
      <w:proofErr w:type="gramEnd"/>
      <w:r w:rsidR="004F5BF6" w:rsidRPr="005F1178">
        <w:rPr>
          <w:color w:val="FF0000"/>
        </w:rPr>
        <w:t xml:space="preserve"> малого бизнеса. </w:t>
      </w:r>
    </w:p>
    <w:p w:rsidR="004F5BF6" w:rsidRPr="005F1178" w:rsidRDefault="004F5BF6" w:rsidP="004F5BF6">
      <w:pPr>
        <w:jc w:val="both"/>
        <w:rPr>
          <w:rFonts w:ascii="Times New Roman" w:hAnsi="Times New Roman" w:cs="Times New Roman"/>
          <w:b/>
          <w:sz w:val="24"/>
          <w:szCs w:val="24"/>
        </w:rPr>
      </w:pPr>
      <w:r w:rsidRPr="005F1178">
        <w:rPr>
          <w:rFonts w:ascii="Times New Roman" w:hAnsi="Times New Roman" w:cs="Times New Roman"/>
          <w:b/>
          <w:sz w:val="24"/>
          <w:szCs w:val="24"/>
        </w:rPr>
        <w:t xml:space="preserve">Интервью с Ларисой </w:t>
      </w:r>
      <w:proofErr w:type="spellStart"/>
      <w:r w:rsidRPr="005F1178">
        <w:rPr>
          <w:rFonts w:ascii="Times New Roman" w:hAnsi="Times New Roman" w:cs="Times New Roman"/>
          <w:b/>
          <w:sz w:val="24"/>
          <w:szCs w:val="24"/>
        </w:rPr>
        <w:t>Швецовой</w:t>
      </w:r>
      <w:proofErr w:type="spellEnd"/>
      <w:r w:rsidRPr="005F1178">
        <w:rPr>
          <w:rFonts w:ascii="Times New Roman" w:hAnsi="Times New Roman" w:cs="Times New Roman"/>
          <w:b/>
          <w:sz w:val="24"/>
          <w:szCs w:val="24"/>
        </w:rPr>
        <w:t xml:space="preserve">, руководителем блока корпоративного бизнеса </w:t>
      </w:r>
      <w:proofErr w:type="spellStart"/>
      <w:r w:rsidRPr="005F1178">
        <w:rPr>
          <w:rFonts w:ascii="Times New Roman" w:hAnsi="Times New Roman" w:cs="Times New Roman"/>
          <w:b/>
          <w:sz w:val="24"/>
          <w:szCs w:val="24"/>
        </w:rPr>
        <w:t>БИНБАНКа</w:t>
      </w:r>
      <w:proofErr w:type="spellEnd"/>
    </w:p>
    <w:p w:rsidR="004F5BF6" w:rsidRPr="005F1178" w:rsidRDefault="00B955C9" w:rsidP="0080651F">
      <w:pPr>
        <w:spacing w:after="0"/>
        <w:ind w:left="720"/>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Какие ключевые изменения произошли на рынке кредитования МСБ во втором полугодии 2012 года по сравнению с первым?</w:t>
      </w:r>
    </w:p>
    <w:p w:rsidR="004F5BF6" w:rsidRPr="005F1178" w:rsidRDefault="00B955C9"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 xml:space="preserve">Существенных изменений между </w:t>
      </w:r>
      <w:r w:rsidR="004F5BF6" w:rsidRPr="005F1178">
        <w:rPr>
          <w:rFonts w:ascii="Arial" w:hAnsi="Arial" w:cs="Arial"/>
          <w:sz w:val="20"/>
          <w:szCs w:val="20"/>
          <w:lang w:val="en-US"/>
        </w:rPr>
        <w:t>I</w:t>
      </w:r>
      <w:r w:rsidR="004F5BF6" w:rsidRPr="005F1178">
        <w:rPr>
          <w:rFonts w:ascii="Arial" w:hAnsi="Arial" w:cs="Arial"/>
          <w:sz w:val="20"/>
          <w:szCs w:val="20"/>
        </w:rPr>
        <w:t xml:space="preserve"> и </w:t>
      </w:r>
      <w:r w:rsidR="004F5BF6" w:rsidRPr="005F1178">
        <w:rPr>
          <w:rFonts w:ascii="Arial" w:hAnsi="Arial" w:cs="Arial"/>
          <w:sz w:val="20"/>
          <w:szCs w:val="20"/>
          <w:lang w:val="en-US"/>
        </w:rPr>
        <w:t>II</w:t>
      </w:r>
      <w:r w:rsidR="004F5BF6" w:rsidRPr="005F1178">
        <w:rPr>
          <w:rFonts w:ascii="Arial" w:hAnsi="Arial" w:cs="Arial"/>
          <w:sz w:val="20"/>
          <w:szCs w:val="20"/>
        </w:rPr>
        <w:t xml:space="preserve"> кварталом 2012 года не произошло. Средний уровень спроса на кредитные ресурсы, сформированный рынком в 2011 в 2012 году, сохранялся, и в части регионов наблюдалась даже тенденция к снижению спроса по сравнению с первым полугодием 2012 года. Данный факт связан с установлением в предпринимательской среде «выжидательной» позиции, которая была сформирована потенциальным изменением экономической ситуации в стране. Такая тенденция характеризовала спрос на кредитные ресурсы, например в Восточной и Западной Сибири. И что интересно</w:t>
      </w:r>
      <w:r>
        <w:rPr>
          <w:rFonts w:ascii="Arial" w:hAnsi="Arial" w:cs="Arial"/>
          <w:sz w:val="20"/>
          <w:szCs w:val="20"/>
        </w:rPr>
        <w:t>,</w:t>
      </w:r>
      <w:r w:rsidR="004F5BF6" w:rsidRPr="005F1178">
        <w:rPr>
          <w:rFonts w:ascii="Arial" w:hAnsi="Arial" w:cs="Arial"/>
          <w:sz w:val="20"/>
          <w:szCs w:val="20"/>
        </w:rPr>
        <w:t xml:space="preserve"> «выжидательная» позиция предпринимателей наблюдалась не только в среднем и малом сегменте, а также среди </w:t>
      </w:r>
      <w:proofErr w:type="spellStart"/>
      <w:r w:rsidR="004F5BF6" w:rsidRPr="005F1178">
        <w:rPr>
          <w:rFonts w:ascii="Arial" w:hAnsi="Arial" w:cs="Arial"/>
          <w:sz w:val="20"/>
          <w:szCs w:val="20"/>
        </w:rPr>
        <w:t>микропредприятий</w:t>
      </w:r>
      <w:proofErr w:type="spellEnd"/>
      <w:r w:rsidR="004F5BF6" w:rsidRPr="005F1178">
        <w:rPr>
          <w:rFonts w:ascii="Arial" w:hAnsi="Arial" w:cs="Arial"/>
          <w:sz w:val="20"/>
          <w:szCs w:val="20"/>
        </w:rPr>
        <w:t xml:space="preserve"> и предпринимателей. Однако, несмотря на тенденции, деловой сезон (с сентября по декабрь) для основного состава банков, активно работающих с сегментом МСБ, обеспечил рост кредитных портфелей и зачастую рост выше рынка </w:t>
      </w:r>
      <w:r w:rsidR="004F5BF6" w:rsidRPr="005F1178">
        <w:rPr>
          <w:rFonts w:ascii="Arial" w:hAnsi="Arial" w:cs="Arial"/>
          <w:sz w:val="20"/>
          <w:szCs w:val="20"/>
        </w:rPr>
        <w:br/>
        <w:t xml:space="preserve">(у ряда кредитных организаций рост портфелей был даже гораздо выше, чем в первом полугодии). Но при оценке тенденций нужно учитывать, что первое полугодие включает в себя 2 месяца </w:t>
      </w:r>
      <w:r>
        <w:rPr>
          <w:rFonts w:ascii="Arial" w:hAnsi="Arial" w:cs="Arial"/>
          <w:sz w:val="20"/>
          <w:szCs w:val="20"/>
        </w:rPr>
        <w:t>(</w:t>
      </w:r>
      <w:r w:rsidR="004F5BF6" w:rsidRPr="005F1178">
        <w:rPr>
          <w:rFonts w:ascii="Arial" w:hAnsi="Arial" w:cs="Arial"/>
          <w:sz w:val="20"/>
          <w:szCs w:val="20"/>
        </w:rPr>
        <w:t>январь и май</w:t>
      </w:r>
      <w:r>
        <w:rPr>
          <w:rFonts w:ascii="Arial" w:hAnsi="Arial" w:cs="Arial"/>
          <w:sz w:val="20"/>
          <w:szCs w:val="20"/>
        </w:rPr>
        <w:t>),</w:t>
      </w:r>
      <w:r w:rsidR="004F5BF6" w:rsidRPr="005F1178">
        <w:rPr>
          <w:rFonts w:ascii="Arial" w:hAnsi="Arial" w:cs="Arial"/>
          <w:sz w:val="20"/>
          <w:szCs w:val="20"/>
        </w:rPr>
        <w:t xml:space="preserve"> традиционно используемых россиянами для отпусков.</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Что касается продуктовых линеек во втором полугодии 2012 года</w:t>
      </w:r>
      <w:r w:rsidR="00AE2B1A">
        <w:rPr>
          <w:rFonts w:ascii="Arial" w:hAnsi="Arial" w:cs="Arial"/>
          <w:sz w:val="20"/>
          <w:szCs w:val="20"/>
        </w:rPr>
        <w:t>,</w:t>
      </w:r>
      <w:r w:rsidRPr="005F1178">
        <w:rPr>
          <w:rFonts w:ascii="Arial" w:hAnsi="Arial" w:cs="Arial"/>
          <w:sz w:val="20"/>
          <w:szCs w:val="20"/>
        </w:rPr>
        <w:t xml:space="preserve"> то можно сказать, что рынок не удивил разнообразием и изменениями. Многие, в том числе и БИНБАНК</w:t>
      </w:r>
      <w:r w:rsidR="00AE2B1A">
        <w:rPr>
          <w:rFonts w:ascii="Arial" w:hAnsi="Arial" w:cs="Arial"/>
          <w:sz w:val="20"/>
          <w:szCs w:val="20"/>
        </w:rPr>
        <w:t>,</w:t>
      </w:r>
      <w:r w:rsidRPr="005F1178">
        <w:rPr>
          <w:rFonts w:ascii="Arial" w:hAnsi="Arial" w:cs="Arial"/>
          <w:sz w:val="20"/>
          <w:szCs w:val="20"/>
        </w:rPr>
        <w:t xml:space="preserve"> использовали специальные акции и предложения для поднятия спроса на свои стандартные кредитные продукты. Например, мы предлагали продукт с более лояльными требованиями, по сравнению со стандартными условиями, по набору документов от клиента, запрашиваемых для оценки риска</w:t>
      </w:r>
      <w:r w:rsidR="00AE2B1A">
        <w:rPr>
          <w:rFonts w:ascii="Arial" w:hAnsi="Arial" w:cs="Arial"/>
          <w:sz w:val="20"/>
          <w:szCs w:val="20"/>
        </w:rPr>
        <w:t>,</w:t>
      </w:r>
      <w:r w:rsidRPr="005F1178">
        <w:rPr>
          <w:rFonts w:ascii="Arial" w:hAnsi="Arial" w:cs="Arial"/>
          <w:sz w:val="20"/>
          <w:szCs w:val="20"/>
        </w:rPr>
        <w:t xml:space="preserve"> </w:t>
      </w:r>
      <w:r w:rsidR="00AE2B1A">
        <w:rPr>
          <w:rFonts w:ascii="Arial" w:hAnsi="Arial" w:cs="Arial"/>
          <w:sz w:val="20"/>
          <w:szCs w:val="20"/>
        </w:rPr>
        <w:t>с</w:t>
      </w:r>
      <w:r w:rsidRPr="005F1178">
        <w:rPr>
          <w:rFonts w:ascii="Arial" w:hAnsi="Arial" w:cs="Arial"/>
          <w:sz w:val="20"/>
          <w:szCs w:val="20"/>
        </w:rPr>
        <w:t xml:space="preserve"> требованиями к залоговому обеспечению, а также более дешевые для клиента</w:t>
      </w:r>
      <w:r w:rsidR="00AE2B1A">
        <w:rPr>
          <w:rFonts w:ascii="Arial" w:hAnsi="Arial" w:cs="Arial"/>
          <w:sz w:val="20"/>
          <w:szCs w:val="20"/>
        </w:rPr>
        <w:t xml:space="preserve"> продукты</w:t>
      </w:r>
      <w:r w:rsidRPr="005F1178">
        <w:rPr>
          <w:rFonts w:ascii="Arial" w:hAnsi="Arial" w:cs="Arial"/>
          <w:sz w:val="20"/>
          <w:szCs w:val="20"/>
        </w:rPr>
        <w:t xml:space="preserve">. </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 xml:space="preserve">Что касается конкурентов, заметным было продуктовое предложение от Росбанка </w:t>
      </w:r>
      <w:r w:rsidR="009125B1">
        <w:rPr>
          <w:rFonts w:ascii="Arial" w:hAnsi="Arial" w:cs="Arial"/>
          <w:sz w:val="20"/>
          <w:szCs w:val="20"/>
        </w:rPr>
        <w:t>–</w:t>
      </w:r>
      <w:r w:rsidRPr="005F1178">
        <w:rPr>
          <w:rFonts w:ascii="Arial" w:hAnsi="Arial" w:cs="Arial"/>
          <w:sz w:val="20"/>
          <w:szCs w:val="20"/>
        </w:rPr>
        <w:t xml:space="preserve"> </w:t>
      </w:r>
      <w:proofErr w:type="spellStart"/>
      <w:r w:rsidRPr="005F1178">
        <w:rPr>
          <w:rFonts w:ascii="Arial" w:hAnsi="Arial" w:cs="Arial"/>
          <w:sz w:val="20"/>
          <w:szCs w:val="20"/>
        </w:rPr>
        <w:t>беззалоговый</w:t>
      </w:r>
      <w:proofErr w:type="spellEnd"/>
      <w:r w:rsidRPr="005F1178">
        <w:rPr>
          <w:rFonts w:ascii="Arial" w:hAnsi="Arial" w:cs="Arial"/>
          <w:sz w:val="20"/>
          <w:szCs w:val="20"/>
        </w:rPr>
        <w:t xml:space="preserve"> кредит. В части новых серьезных игроков в секторе кредитования МСБ я бы отметила, что во втором полугодии 2012 года особенно заметен был «Банк Москвы», стратегия которого в части корпоративного бизнеса направлена на сегмент МСБ. </w:t>
      </w:r>
      <w:r w:rsidR="00D9214A">
        <w:rPr>
          <w:rFonts w:ascii="Arial" w:hAnsi="Arial" w:cs="Arial"/>
          <w:sz w:val="20"/>
          <w:szCs w:val="20"/>
        </w:rPr>
        <w:t>Д</w:t>
      </w:r>
      <w:r w:rsidRPr="005F1178">
        <w:rPr>
          <w:rFonts w:ascii="Arial" w:hAnsi="Arial" w:cs="Arial"/>
          <w:sz w:val="20"/>
          <w:szCs w:val="20"/>
        </w:rPr>
        <w:t>руги</w:t>
      </w:r>
      <w:r w:rsidR="00D9214A">
        <w:rPr>
          <w:rFonts w:ascii="Arial" w:hAnsi="Arial" w:cs="Arial"/>
          <w:sz w:val="20"/>
          <w:szCs w:val="20"/>
        </w:rPr>
        <w:t>е</w:t>
      </w:r>
      <w:r w:rsidRPr="005F1178">
        <w:rPr>
          <w:rFonts w:ascii="Arial" w:hAnsi="Arial" w:cs="Arial"/>
          <w:sz w:val="20"/>
          <w:szCs w:val="20"/>
        </w:rPr>
        <w:t xml:space="preserve"> </w:t>
      </w:r>
      <w:r w:rsidR="00D9214A">
        <w:rPr>
          <w:rFonts w:ascii="Arial" w:hAnsi="Arial" w:cs="Arial"/>
          <w:sz w:val="20"/>
          <w:szCs w:val="20"/>
        </w:rPr>
        <w:t>(</w:t>
      </w:r>
      <w:r w:rsidRPr="005F1178">
        <w:rPr>
          <w:rFonts w:ascii="Arial" w:hAnsi="Arial" w:cs="Arial"/>
          <w:sz w:val="20"/>
          <w:szCs w:val="20"/>
        </w:rPr>
        <w:t>менее крупны</w:t>
      </w:r>
      <w:r w:rsidR="00D9214A">
        <w:rPr>
          <w:rFonts w:ascii="Arial" w:hAnsi="Arial" w:cs="Arial"/>
          <w:sz w:val="20"/>
          <w:szCs w:val="20"/>
        </w:rPr>
        <w:t>е)</w:t>
      </w:r>
      <w:r w:rsidRPr="005F1178">
        <w:rPr>
          <w:rFonts w:ascii="Arial" w:hAnsi="Arial" w:cs="Arial"/>
          <w:sz w:val="20"/>
          <w:szCs w:val="20"/>
        </w:rPr>
        <w:t xml:space="preserve"> банк</w:t>
      </w:r>
      <w:r w:rsidR="00D9214A">
        <w:rPr>
          <w:rFonts w:ascii="Arial" w:hAnsi="Arial" w:cs="Arial"/>
          <w:sz w:val="20"/>
          <w:szCs w:val="20"/>
        </w:rPr>
        <w:t>и</w:t>
      </w:r>
      <w:r w:rsidRPr="005F1178">
        <w:rPr>
          <w:rFonts w:ascii="Arial" w:hAnsi="Arial" w:cs="Arial"/>
          <w:sz w:val="20"/>
          <w:szCs w:val="20"/>
        </w:rPr>
        <w:t xml:space="preserve"> также были очень активны в борьбе за клиентов – МТС Банк, Банк Связной, Петрокоммерц. Рост кредитного портфеля </w:t>
      </w:r>
      <w:proofErr w:type="spellStart"/>
      <w:r w:rsidRPr="005F1178">
        <w:rPr>
          <w:rFonts w:ascii="Arial" w:hAnsi="Arial" w:cs="Arial"/>
          <w:sz w:val="20"/>
          <w:szCs w:val="20"/>
        </w:rPr>
        <w:t>БИНБАНКа</w:t>
      </w:r>
      <w:proofErr w:type="spellEnd"/>
      <w:r w:rsidRPr="005F1178">
        <w:rPr>
          <w:rFonts w:ascii="Arial" w:hAnsi="Arial" w:cs="Arial"/>
          <w:sz w:val="20"/>
          <w:szCs w:val="20"/>
        </w:rPr>
        <w:t xml:space="preserve"> во втором полугодии был более активны</w:t>
      </w:r>
      <w:r w:rsidR="00D9214A">
        <w:rPr>
          <w:rFonts w:ascii="Arial" w:hAnsi="Arial" w:cs="Arial"/>
          <w:sz w:val="20"/>
          <w:szCs w:val="20"/>
        </w:rPr>
        <w:t>м,</w:t>
      </w:r>
      <w:r w:rsidRPr="005F1178">
        <w:rPr>
          <w:rFonts w:ascii="Arial" w:hAnsi="Arial" w:cs="Arial"/>
          <w:sz w:val="20"/>
          <w:szCs w:val="20"/>
        </w:rPr>
        <w:t xml:space="preserve"> чем в первом полугодии. Это связано с тем, что в начале 2012 года мы делали первые шаги на рынке </w:t>
      </w:r>
      <w:r w:rsidRPr="005F1178">
        <w:rPr>
          <w:rFonts w:ascii="Arial" w:hAnsi="Arial" w:cs="Arial"/>
          <w:sz w:val="20"/>
          <w:szCs w:val="20"/>
        </w:rPr>
        <w:lastRenderedPageBreak/>
        <w:t xml:space="preserve">кредитования МСБ в качестве банка, серьезно ориентированного на данный сегмент: в первом полугодии наши продажи составили 5 </w:t>
      </w:r>
      <w:proofErr w:type="gramStart"/>
      <w:r w:rsidRPr="005F1178">
        <w:rPr>
          <w:rFonts w:ascii="Arial" w:hAnsi="Arial" w:cs="Arial"/>
          <w:sz w:val="20"/>
          <w:szCs w:val="20"/>
        </w:rPr>
        <w:t>млрд</w:t>
      </w:r>
      <w:proofErr w:type="gramEnd"/>
      <w:r w:rsidRPr="005F1178">
        <w:rPr>
          <w:rFonts w:ascii="Arial" w:hAnsi="Arial" w:cs="Arial"/>
          <w:sz w:val="20"/>
          <w:szCs w:val="20"/>
        </w:rPr>
        <w:t xml:space="preserve"> рублей за 6 месяцев, во втором – уже более 8 млрд рублей за 6 месяцев.</w:t>
      </w:r>
    </w:p>
    <w:p w:rsidR="004F5BF6" w:rsidRPr="005F1178" w:rsidRDefault="004F5BF6" w:rsidP="004F5BF6">
      <w:pPr>
        <w:ind w:firstLine="567"/>
        <w:jc w:val="both"/>
        <w:rPr>
          <w:rFonts w:ascii="Arial" w:hAnsi="Arial" w:cs="Arial"/>
          <w:sz w:val="20"/>
          <w:szCs w:val="20"/>
        </w:rPr>
      </w:pPr>
    </w:p>
    <w:p w:rsidR="004F5BF6" w:rsidRPr="005F1178" w:rsidRDefault="00D9214A" w:rsidP="0080651F">
      <w:pPr>
        <w:spacing w:after="0"/>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 xml:space="preserve">Как </w:t>
      </w:r>
      <w:r>
        <w:rPr>
          <w:rFonts w:ascii="Arial" w:hAnsi="Arial" w:cs="Arial"/>
          <w:b/>
          <w:sz w:val="20"/>
          <w:szCs w:val="20"/>
        </w:rPr>
        <w:t>в</w:t>
      </w:r>
      <w:r w:rsidR="004F5BF6" w:rsidRPr="005F1178">
        <w:rPr>
          <w:rFonts w:ascii="Arial" w:hAnsi="Arial" w:cs="Arial"/>
          <w:b/>
          <w:sz w:val="20"/>
          <w:szCs w:val="20"/>
        </w:rPr>
        <w:t>ы оцениваете динамику проблемной задолженности МСБ в целом по рынку в 2012 году? Можно ли выделить отрасли, для которых сегодня характерны наибольшие темпы роста проблемной задолженности?</w:t>
      </w:r>
    </w:p>
    <w:p w:rsidR="004F5BF6" w:rsidRPr="005F1178" w:rsidRDefault="00027358"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Обсуждение проблемной задолженности клиентов малого и среднего бизнеса</w:t>
      </w:r>
      <w:r>
        <w:rPr>
          <w:rFonts w:ascii="Arial" w:hAnsi="Arial" w:cs="Arial"/>
          <w:sz w:val="20"/>
          <w:szCs w:val="20"/>
        </w:rPr>
        <w:t xml:space="preserve"> –</w:t>
      </w:r>
      <w:r w:rsidR="004F5BF6" w:rsidRPr="005F1178">
        <w:rPr>
          <w:rFonts w:ascii="Arial" w:hAnsi="Arial" w:cs="Arial"/>
          <w:sz w:val="20"/>
          <w:szCs w:val="20"/>
        </w:rPr>
        <w:t xml:space="preserve"> излюбленная тема различных брифингов и интервью, которая зачастую конкурирует даже с темой просрочки по розничным кредитам. Однако на этот счет у меня есть собственное мнение</w:t>
      </w:r>
      <w:r>
        <w:rPr>
          <w:rFonts w:ascii="Arial" w:hAnsi="Arial" w:cs="Arial"/>
          <w:sz w:val="20"/>
          <w:szCs w:val="20"/>
        </w:rPr>
        <w:t>.</w:t>
      </w:r>
      <w:r w:rsidR="004F5BF6" w:rsidRPr="005F1178">
        <w:rPr>
          <w:rFonts w:ascii="Arial" w:hAnsi="Arial" w:cs="Arial"/>
          <w:sz w:val="20"/>
          <w:szCs w:val="20"/>
        </w:rPr>
        <w:t xml:space="preserve"> </w:t>
      </w:r>
      <w:r>
        <w:rPr>
          <w:rFonts w:ascii="Arial" w:hAnsi="Arial" w:cs="Arial"/>
          <w:sz w:val="20"/>
          <w:szCs w:val="20"/>
        </w:rPr>
        <w:t>П</w:t>
      </w:r>
      <w:r w:rsidR="004F5BF6" w:rsidRPr="005F1178">
        <w:rPr>
          <w:rFonts w:ascii="Arial" w:hAnsi="Arial" w:cs="Arial"/>
          <w:sz w:val="20"/>
          <w:szCs w:val="20"/>
        </w:rPr>
        <w:t xml:space="preserve">росрочку нельзя оценивать только по уровню </w:t>
      </w:r>
      <w:r>
        <w:rPr>
          <w:rFonts w:ascii="Arial" w:hAnsi="Arial" w:cs="Arial"/>
          <w:sz w:val="20"/>
          <w:szCs w:val="20"/>
        </w:rPr>
        <w:t>–</w:t>
      </w:r>
      <w:r w:rsidR="004F5BF6" w:rsidRPr="005F1178">
        <w:rPr>
          <w:rFonts w:ascii="Arial" w:hAnsi="Arial" w:cs="Arial"/>
          <w:sz w:val="20"/>
          <w:szCs w:val="20"/>
        </w:rPr>
        <w:t xml:space="preserve"> она не может быть только большой или маленькой. </w:t>
      </w:r>
      <w:r>
        <w:rPr>
          <w:rFonts w:ascii="Arial" w:hAnsi="Arial" w:cs="Arial"/>
          <w:sz w:val="20"/>
          <w:szCs w:val="20"/>
        </w:rPr>
        <w:t>О</w:t>
      </w:r>
      <w:r w:rsidR="004F5BF6" w:rsidRPr="005F1178">
        <w:rPr>
          <w:rFonts w:ascii="Arial" w:hAnsi="Arial" w:cs="Arial"/>
          <w:sz w:val="20"/>
          <w:szCs w:val="20"/>
        </w:rPr>
        <w:t>на должна быть приемлемой или неприемлемой для финансовой организации, и для каждого банка это свой уровень. Это, безусловно, управляемый фактор в условиях более или менее стабильного рынка даже в кризисной ситуации. Сейчас большинство банков уже очень хорошо понимают, как управлять уровнем просрочки</w:t>
      </w:r>
      <w:r w:rsidR="004175D7">
        <w:rPr>
          <w:rFonts w:ascii="Arial" w:hAnsi="Arial" w:cs="Arial"/>
          <w:sz w:val="20"/>
          <w:szCs w:val="20"/>
        </w:rPr>
        <w:t>,</w:t>
      </w:r>
      <w:r w:rsidR="004F5BF6" w:rsidRPr="005F1178">
        <w:rPr>
          <w:rFonts w:ascii="Arial" w:hAnsi="Arial" w:cs="Arial"/>
          <w:sz w:val="20"/>
          <w:szCs w:val="20"/>
        </w:rPr>
        <w:t xml:space="preserve"> используют базовые инструменты, которые в том числе предлагает и международный опыт. Кто-то, как часто это бывает, идет впереди рынка в этом вопросе, кто-то менее «продвинут», однако тенденци</w:t>
      </w:r>
      <w:r w:rsidR="004175D7">
        <w:rPr>
          <w:rFonts w:ascii="Arial" w:hAnsi="Arial" w:cs="Arial"/>
          <w:sz w:val="20"/>
          <w:szCs w:val="20"/>
        </w:rPr>
        <w:t>ю</w:t>
      </w:r>
      <w:r w:rsidR="004F5BF6" w:rsidRPr="005F1178">
        <w:rPr>
          <w:rFonts w:ascii="Arial" w:hAnsi="Arial" w:cs="Arial"/>
          <w:sz w:val="20"/>
          <w:szCs w:val="20"/>
        </w:rPr>
        <w:t xml:space="preserve"> к усилению контроля и использованию современных практик понимают и применяют все. Отраслевой фактор в данном случае имеет большее значение для крупных корпоративных клиентов. Например, традиционно при снижении экономической активности грузоперевозки являются отраслью, которая первая попадает под удар. И в части малого бизнеса это, наверное, самый заметный отраслевой фактор.</w:t>
      </w:r>
    </w:p>
    <w:p w:rsidR="004F5BF6" w:rsidRPr="005F1178" w:rsidRDefault="004F5BF6" w:rsidP="004F5BF6">
      <w:pPr>
        <w:ind w:firstLine="567"/>
        <w:jc w:val="both"/>
        <w:rPr>
          <w:rFonts w:ascii="Arial" w:hAnsi="Arial" w:cs="Arial"/>
          <w:sz w:val="20"/>
          <w:szCs w:val="20"/>
        </w:rPr>
      </w:pPr>
    </w:p>
    <w:p w:rsidR="004F5BF6" w:rsidRPr="005F1178" w:rsidRDefault="002B4073" w:rsidP="0080651F">
      <w:pPr>
        <w:spacing w:after="0"/>
        <w:ind w:left="1287"/>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 xml:space="preserve">Оцените эффективность ключевых инструментов господдержки рынка – гарантийных фондов и МСП Банка – в 2012 году. С какими основными проблемами сталкивается </w:t>
      </w:r>
      <w:r>
        <w:rPr>
          <w:rFonts w:ascii="Arial" w:hAnsi="Arial" w:cs="Arial"/>
          <w:b/>
          <w:sz w:val="20"/>
          <w:szCs w:val="20"/>
        </w:rPr>
        <w:t>в</w:t>
      </w:r>
      <w:r w:rsidR="004F5BF6" w:rsidRPr="005F1178">
        <w:rPr>
          <w:rFonts w:ascii="Arial" w:hAnsi="Arial" w:cs="Arial"/>
          <w:b/>
          <w:sz w:val="20"/>
          <w:szCs w:val="20"/>
        </w:rPr>
        <w:t xml:space="preserve">аш </w:t>
      </w:r>
      <w:r>
        <w:rPr>
          <w:rFonts w:ascii="Arial" w:hAnsi="Arial" w:cs="Arial"/>
          <w:b/>
          <w:sz w:val="20"/>
          <w:szCs w:val="20"/>
        </w:rPr>
        <w:t>б</w:t>
      </w:r>
      <w:r w:rsidR="004F5BF6" w:rsidRPr="005F1178">
        <w:rPr>
          <w:rFonts w:ascii="Arial" w:hAnsi="Arial" w:cs="Arial"/>
          <w:b/>
          <w:sz w:val="20"/>
          <w:szCs w:val="20"/>
        </w:rPr>
        <w:t xml:space="preserve">анк при взаимодействии с институтами развития? Существует ли сегодня потребность в дополнительных мерах господдержки (если да, назовите их)? Как вы оцениваете решение МСП Банка по запуску программы </w:t>
      </w:r>
      <w:proofErr w:type="spellStart"/>
      <w:r w:rsidR="004F5BF6" w:rsidRPr="005F1178">
        <w:rPr>
          <w:rFonts w:ascii="Arial" w:hAnsi="Arial" w:cs="Arial"/>
          <w:b/>
          <w:sz w:val="20"/>
          <w:szCs w:val="20"/>
        </w:rPr>
        <w:t>софинансирования</w:t>
      </w:r>
      <w:proofErr w:type="spellEnd"/>
      <w:r w:rsidR="004F5BF6" w:rsidRPr="005F1178">
        <w:rPr>
          <w:rFonts w:ascii="Arial" w:hAnsi="Arial" w:cs="Arial"/>
          <w:b/>
          <w:sz w:val="20"/>
          <w:szCs w:val="20"/>
        </w:rPr>
        <w:t xml:space="preserve"> МСБ (совместно с банками-партнерами)?</w:t>
      </w:r>
    </w:p>
    <w:p w:rsidR="004F5BF6" w:rsidRPr="005F1178" w:rsidRDefault="002B4073"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 xml:space="preserve">Поскольку для </w:t>
      </w:r>
      <w:proofErr w:type="spellStart"/>
      <w:r w:rsidR="004F5BF6" w:rsidRPr="005F1178">
        <w:rPr>
          <w:rFonts w:ascii="Arial" w:hAnsi="Arial" w:cs="Arial"/>
          <w:sz w:val="20"/>
          <w:szCs w:val="20"/>
        </w:rPr>
        <w:t>БИНБАНКа</w:t>
      </w:r>
      <w:proofErr w:type="spellEnd"/>
      <w:r w:rsidR="004F5BF6" w:rsidRPr="005F1178">
        <w:rPr>
          <w:rFonts w:ascii="Arial" w:hAnsi="Arial" w:cs="Arial"/>
          <w:sz w:val="20"/>
          <w:szCs w:val="20"/>
        </w:rPr>
        <w:t xml:space="preserve"> 2012 год, по сути, стал первым год</w:t>
      </w:r>
      <w:r>
        <w:rPr>
          <w:rFonts w:ascii="Arial" w:hAnsi="Arial" w:cs="Arial"/>
          <w:sz w:val="20"/>
          <w:szCs w:val="20"/>
        </w:rPr>
        <w:t>ом</w:t>
      </w:r>
      <w:r w:rsidR="004F5BF6" w:rsidRPr="005F1178">
        <w:rPr>
          <w:rFonts w:ascii="Arial" w:hAnsi="Arial" w:cs="Arial"/>
          <w:sz w:val="20"/>
          <w:szCs w:val="20"/>
        </w:rPr>
        <w:t xml:space="preserve"> активной работы с сегментом </w:t>
      </w:r>
      <w:r w:rsidR="004F5BF6" w:rsidRPr="005F1178">
        <w:rPr>
          <w:rFonts w:ascii="Arial" w:hAnsi="Arial" w:cs="Arial"/>
          <w:sz w:val="20"/>
          <w:szCs w:val="20"/>
          <w:lang w:val="en-US"/>
        </w:rPr>
        <w:t>SME</w:t>
      </w:r>
      <w:r w:rsidR="004F5BF6" w:rsidRPr="005F1178">
        <w:rPr>
          <w:rFonts w:ascii="Arial" w:hAnsi="Arial" w:cs="Arial"/>
          <w:sz w:val="20"/>
          <w:szCs w:val="20"/>
        </w:rPr>
        <w:t xml:space="preserve">, в 2012 году мы не пользовались заемными средствами от МСП Банка, не развивали на этом этапе сотрудничество с </w:t>
      </w:r>
      <w:r w:rsidR="00826233">
        <w:rPr>
          <w:rFonts w:ascii="Arial" w:hAnsi="Arial" w:cs="Arial"/>
          <w:sz w:val="20"/>
          <w:szCs w:val="20"/>
        </w:rPr>
        <w:t>г</w:t>
      </w:r>
      <w:r w:rsidR="004F5BF6" w:rsidRPr="005F1178">
        <w:rPr>
          <w:rFonts w:ascii="Arial" w:hAnsi="Arial" w:cs="Arial"/>
          <w:sz w:val="20"/>
          <w:szCs w:val="20"/>
        </w:rPr>
        <w:t xml:space="preserve">арантийными фондами. Это наши дальнейшие планы на 2013 и последующие годы. Однако в конце 2012 года мы начали переговоры о сотрудничестве с МСП Банком по ряду предлагаемых кредитных продуктов. По нашей оценке продуктового ряда МСП можно сказать о том, что предложение комплексное и поддерживает в целом линию </w:t>
      </w:r>
      <w:r w:rsidR="00826233">
        <w:rPr>
          <w:rFonts w:ascii="Arial" w:hAnsi="Arial" w:cs="Arial"/>
          <w:sz w:val="20"/>
          <w:szCs w:val="20"/>
        </w:rPr>
        <w:t xml:space="preserve">правительства </w:t>
      </w:r>
      <w:r w:rsidR="004F5BF6" w:rsidRPr="005F1178">
        <w:rPr>
          <w:rFonts w:ascii="Arial" w:hAnsi="Arial" w:cs="Arial"/>
          <w:sz w:val="20"/>
          <w:szCs w:val="20"/>
        </w:rPr>
        <w:t>на развитие инновационных проектов в части стратегически важных для страны отраслей, что я считаю очень важным и полезным для развития предпринимательства в России. Но есть</w:t>
      </w:r>
      <w:r w:rsidR="00826233">
        <w:rPr>
          <w:rFonts w:ascii="Arial" w:hAnsi="Arial" w:cs="Arial"/>
          <w:sz w:val="20"/>
          <w:szCs w:val="20"/>
        </w:rPr>
        <w:t xml:space="preserve"> и</w:t>
      </w:r>
      <w:r w:rsidR="004F5BF6" w:rsidRPr="005F1178">
        <w:rPr>
          <w:rFonts w:ascii="Arial" w:hAnsi="Arial" w:cs="Arial"/>
          <w:sz w:val="20"/>
          <w:szCs w:val="20"/>
        </w:rPr>
        <w:t xml:space="preserve"> ряд продуктов, которые могут быть предложены и традиционным массовым для сегмента МСБ отраслям, таким как торговля и услуги населению, в том числе и для того, чтобы развивать другие, более сложные направления, например производство. В целом МСП Банк движется в ногу с рынком, активно работая со своими партнерами и получая от них обратную связь, старается модифицировать и улучшать продуктовое предложение. Можно положительно оценить не только кредитные продукты МСП Банка, но и сам процесс взаимодействия при сотрудничестве. Область, которую осталось доработать</w:t>
      </w:r>
      <w:r w:rsidR="00826233">
        <w:rPr>
          <w:rFonts w:ascii="Arial" w:hAnsi="Arial" w:cs="Arial"/>
          <w:sz w:val="20"/>
          <w:szCs w:val="20"/>
        </w:rPr>
        <w:t>,</w:t>
      </w:r>
      <w:r w:rsidR="004F5BF6" w:rsidRPr="005F1178">
        <w:rPr>
          <w:rFonts w:ascii="Arial" w:hAnsi="Arial" w:cs="Arial"/>
          <w:sz w:val="20"/>
          <w:szCs w:val="20"/>
        </w:rPr>
        <w:t xml:space="preserve"> </w:t>
      </w:r>
      <w:r w:rsidR="00826233">
        <w:rPr>
          <w:rFonts w:ascii="Arial" w:hAnsi="Arial" w:cs="Arial"/>
          <w:sz w:val="20"/>
          <w:szCs w:val="20"/>
        </w:rPr>
        <w:t>–</w:t>
      </w:r>
      <w:r w:rsidR="004F5BF6" w:rsidRPr="005F1178">
        <w:rPr>
          <w:rFonts w:ascii="Arial" w:hAnsi="Arial" w:cs="Arial"/>
          <w:sz w:val="20"/>
          <w:szCs w:val="20"/>
        </w:rPr>
        <w:t xml:space="preserve"> стоимость процесса сопровождения и обслуживания для банка-партнера кредитных средств после выдачи кредита. Улучшения в этой области сделают условия МСП Банка еще привлекательней для </w:t>
      </w:r>
      <w:r w:rsidR="00826233">
        <w:rPr>
          <w:rFonts w:ascii="Arial" w:hAnsi="Arial" w:cs="Arial"/>
          <w:sz w:val="20"/>
          <w:szCs w:val="20"/>
        </w:rPr>
        <w:t>р</w:t>
      </w:r>
      <w:r w:rsidR="004F5BF6" w:rsidRPr="005F1178">
        <w:rPr>
          <w:rFonts w:ascii="Arial" w:hAnsi="Arial" w:cs="Arial"/>
          <w:sz w:val="20"/>
          <w:szCs w:val="20"/>
        </w:rPr>
        <w:t>ынка.</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 xml:space="preserve">Программа </w:t>
      </w:r>
      <w:proofErr w:type="spellStart"/>
      <w:r w:rsidRPr="005F1178">
        <w:rPr>
          <w:rFonts w:ascii="Arial" w:hAnsi="Arial" w:cs="Arial"/>
          <w:sz w:val="20"/>
          <w:szCs w:val="20"/>
        </w:rPr>
        <w:t>софинансирования</w:t>
      </w:r>
      <w:proofErr w:type="spellEnd"/>
      <w:r w:rsidRPr="005F1178">
        <w:rPr>
          <w:rFonts w:ascii="Arial" w:hAnsi="Arial" w:cs="Arial"/>
          <w:sz w:val="20"/>
          <w:szCs w:val="20"/>
        </w:rPr>
        <w:t>, запущенная МСП Банком, также рассматривается нами как интересный шаг. Важно, чтобы условия предоставления кредитов предпринимателями в рамках этой программы были рыночными не только с точки зрения кредитной ставки, но и</w:t>
      </w:r>
      <w:r w:rsidR="00826233">
        <w:rPr>
          <w:rFonts w:ascii="Arial" w:hAnsi="Arial" w:cs="Arial"/>
          <w:sz w:val="20"/>
          <w:szCs w:val="20"/>
        </w:rPr>
        <w:t xml:space="preserve"> с точки зрения</w:t>
      </w:r>
      <w:r w:rsidRPr="005F1178">
        <w:rPr>
          <w:rFonts w:ascii="Arial" w:hAnsi="Arial" w:cs="Arial"/>
          <w:sz w:val="20"/>
          <w:szCs w:val="20"/>
        </w:rPr>
        <w:t xml:space="preserve"> сроков рассмотрения кредита, пакета требуемых документов и </w:t>
      </w:r>
      <w:proofErr w:type="gramStart"/>
      <w:r w:rsidRPr="005F1178">
        <w:rPr>
          <w:rFonts w:ascii="Arial" w:hAnsi="Arial" w:cs="Arial"/>
          <w:sz w:val="20"/>
          <w:szCs w:val="20"/>
        </w:rPr>
        <w:t>других</w:t>
      </w:r>
      <w:proofErr w:type="gramEnd"/>
      <w:r w:rsidRPr="005F1178">
        <w:rPr>
          <w:rFonts w:ascii="Arial" w:hAnsi="Arial" w:cs="Arial"/>
          <w:sz w:val="20"/>
          <w:szCs w:val="20"/>
        </w:rPr>
        <w:t xml:space="preserve"> немаловажных для клиента </w:t>
      </w:r>
      <w:r w:rsidRPr="005F1178">
        <w:rPr>
          <w:rFonts w:ascii="Arial" w:hAnsi="Arial" w:cs="Arial"/>
          <w:sz w:val="20"/>
          <w:szCs w:val="20"/>
        </w:rPr>
        <w:lastRenderedPageBreak/>
        <w:t xml:space="preserve">моментов. Но опыт работы МСП Банка по другим программам дает возможность говорить о том, что продукт будет вполне рыночным. </w:t>
      </w:r>
    </w:p>
    <w:p w:rsidR="004F5BF6" w:rsidRPr="005F1178" w:rsidRDefault="004F5BF6" w:rsidP="004F5BF6">
      <w:pPr>
        <w:ind w:firstLine="567"/>
        <w:jc w:val="both"/>
        <w:rPr>
          <w:rFonts w:ascii="Arial" w:hAnsi="Arial" w:cs="Arial"/>
          <w:sz w:val="20"/>
          <w:szCs w:val="20"/>
        </w:rPr>
      </w:pPr>
    </w:p>
    <w:p w:rsidR="004F5BF6" w:rsidRPr="005F1178" w:rsidRDefault="00826233" w:rsidP="0080651F">
      <w:pPr>
        <w:spacing w:after="0"/>
        <w:ind w:left="1287"/>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 xml:space="preserve">Какие стратегии борьбы за заемщиков были в 2012 году наиболее эффективными? Ожидаете ли </w:t>
      </w:r>
      <w:r>
        <w:rPr>
          <w:rFonts w:ascii="Arial" w:hAnsi="Arial" w:cs="Arial"/>
          <w:b/>
          <w:sz w:val="20"/>
          <w:szCs w:val="20"/>
        </w:rPr>
        <w:t>в</w:t>
      </w:r>
      <w:r w:rsidR="004F5BF6" w:rsidRPr="005F1178">
        <w:rPr>
          <w:rFonts w:ascii="Arial" w:hAnsi="Arial" w:cs="Arial"/>
          <w:b/>
          <w:sz w:val="20"/>
          <w:szCs w:val="20"/>
        </w:rPr>
        <w:t>ы какие-либо значимые «перестановки» среди ведущих участников рынка до конца текущего года?</w:t>
      </w:r>
    </w:p>
    <w:p w:rsidR="004F5BF6" w:rsidRPr="005F1178" w:rsidRDefault="00826233"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 xml:space="preserve">Тенденции последних лет в части работы с сегментом малого и среднего бизнеса на банковском рынке зарубежных стран сместились в сторону увеличения качества, как в предоставлении услуги, так и в коммуникации с клиентом. Речь идет об уменьшении количества клиентов, которых сопровождает клиентский менеджер, тем самым позволяя лучше наладить отношения с клиентами. Количественная нагрузка на менеджера уменьшается, но одновременно банк повышает планку качества взаимодействия с клиентом. Для клиентов среднего и малого бизнеса менеджер становится финансовым консультантом, помощником, который знает и понимает бизнес клиента и способен </w:t>
      </w:r>
      <w:proofErr w:type="spellStart"/>
      <w:r w:rsidR="004F5BF6" w:rsidRPr="005F1178">
        <w:rPr>
          <w:rFonts w:ascii="Arial" w:hAnsi="Arial" w:cs="Arial"/>
          <w:sz w:val="20"/>
          <w:szCs w:val="20"/>
        </w:rPr>
        <w:t>проактивно</w:t>
      </w:r>
      <w:proofErr w:type="spellEnd"/>
      <w:r w:rsidR="004F5BF6" w:rsidRPr="005F1178">
        <w:rPr>
          <w:rFonts w:ascii="Arial" w:hAnsi="Arial" w:cs="Arial"/>
          <w:sz w:val="20"/>
          <w:szCs w:val="20"/>
        </w:rPr>
        <w:t xml:space="preserve"> развивать отношения с </w:t>
      </w:r>
      <w:r>
        <w:rPr>
          <w:rFonts w:ascii="Arial" w:hAnsi="Arial" w:cs="Arial"/>
          <w:sz w:val="20"/>
          <w:szCs w:val="20"/>
        </w:rPr>
        <w:t>к</w:t>
      </w:r>
      <w:r w:rsidR="004F5BF6" w:rsidRPr="005F1178">
        <w:rPr>
          <w:rFonts w:ascii="Arial" w:hAnsi="Arial" w:cs="Arial"/>
          <w:sz w:val="20"/>
          <w:szCs w:val="20"/>
        </w:rPr>
        <w:t xml:space="preserve">лиентом от имени </w:t>
      </w:r>
      <w:r>
        <w:rPr>
          <w:rFonts w:ascii="Arial" w:hAnsi="Arial" w:cs="Arial"/>
          <w:sz w:val="20"/>
          <w:szCs w:val="20"/>
        </w:rPr>
        <w:t>б</w:t>
      </w:r>
      <w:r w:rsidR="004F5BF6" w:rsidRPr="005F1178">
        <w:rPr>
          <w:rFonts w:ascii="Arial" w:hAnsi="Arial" w:cs="Arial"/>
          <w:sz w:val="20"/>
          <w:szCs w:val="20"/>
        </w:rPr>
        <w:t xml:space="preserve">анка. Действуя на опережение потребностей своих клиентов, </w:t>
      </w:r>
      <w:r w:rsidR="007A36F2">
        <w:rPr>
          <w:rFonts w:ascii="Arial" w:hAnsi="Arial" w:cs="Arial"/>
          <w:sz w:val="20"/>
          <w:szCs w:val="20"/>
        </w:rPr>
        <w:t>к</w:t>
      </w:r>
      <w:r w:rsidR="004F5BF6" w:rsidRPr="005F1178">
        <w:rPr>
          <w:rFonts w:ascii="Arial" w:hAnsi="Arial" w:cs="Arial"/>
          <w:sz w:val="20"/>
          <w:szCs w:val="20"/>
        </w:rPr>
        <w:t xml:space="preserve">лиентский менеджер тем самым увеличивает заинтересованность </w:t>
      </w:r>
      <w:r w:rsidR="007A36F2">
        <w:rPr>
          <w:rFonts w:ascii="Arial" w:hAnsi="Arial" w:cs="Arial"/>
          <w:sz w:val="20"/>
          <w:szCs w:val="20"/>
        </w:rPr>
        <w:t>к</w:t>
      </w:r>
      <w:r w:rsidR="004F5BF6" w:rsidRPr="005F1178">
        <w:rPr>
          <w:rFonts w:ascii="Arial" w:hAnsi="Arial" w:cs="Arial"/>
          <w:sz w:val="20"/>
          <w:szCs w:val="20"/>
        </w:rPr>
        <w:t xml:space="preserve">лиента в </w:t>
      </w:r>
      <w:r w:rsidR="007A36F2">
        <w:rPr>
          <w:rFonts w:ascii="Arial" w:hAnsi="Arial" w:cs="Arial"/>
          <w:sz w:val="20"/>
          <w:szCs w:val="20"/>
        </w:rPr>
        <w:t>б</w:t>
      </w:r>
      <w:r w:rsidR="004F5BF6" w:rsidRPr="005F1178">
        <w:rPr>
          <w:rFonts w:ascii="Arial" w:hAnsi="Arial" w:cs="Arial"/>
          <w:sz w:val="20"/>
          <w:szCs w:val="20"/>
        </w:rPr>
        <w:t xml:space="preserve">анке. И такая тенденция организации работы  уже заметна и в моделях построения </w:t>
      </w:r>
      <w:r w:rsidR="007A36F2">
        <w:rPr>
          <w:rFonts w:ascii="Arial" w:hAnsi="Arial" w:cs="Arial"/>
          <w:sz w:val="20"/>
          <w:szCs w:val="20"/>
        </w:rPr>
        <w:t>б</w:t>
      </w:r>
      <w:r w:rsidR="004F5BF6" w:rsidRPr="005F1178">
        <w:rPr>
          <w:rFonts w:ascii="Arial" w:hAnsi="Arial" w:cs="Arial"/>
          <w:sz w:val="20"/>
          <w:szCs w:val="20"/>
        </w:rPr>
        <w:t xml:space="preserve">изнеса с </w:t>
      </w:r>
      <w:r w:rsidR="007A36F2">
        <w:rPr>
          <w:rFonts w:ascii="Arial" w:hAnsi="Arial" w:cs="Arial"/>
          <w:sz w:val="20"/>
          <w:szCs w:val="20"/>
        </w:rPr>
        <w:t>к</w:t>
      </w:r>
      <w:r w:rsidR="004F5BF6" w:rsidRPr="005F1178">
        <w:rPr>
          <w:rFonts w:ascii="Arial" w:hAnsi="Arial" w:cs="Arial"/>
          <w:sz w:val="20"/>
          <w:szCs w:val="20"/>
        </w:rPr>
        <w:t xml:space="preserve">лиентами сегмента МСБ </w:t>
      </w:r>
      <w:r w:rsidR="007A36F2">
        <w:rPr>
          <w:rFonts w:ascii="Arial" w:hAnsi="Arial" w:cs="Arial"/>
          <w:sz w:val="20"/>
          <w:szCs w:val="20"/>
        </w:rPr>
        <w:t>р</w:t>
      </w:r>
      <w:r w:rsidR="004F5BF6" w:rsidRPr="005F1178">
        <w:rPr>
          <w:rFonts w:ascii="Arial" w:hAnsi="Arial" w:cs="Arial"/>
          <w:sz w:val="20"/>
          <w:szCs w:val="20"/>
        </w:rPr>
        <w:t xml:space="preserve">оссийских </w:t>
      </w:r>
      <w:r w:rsidR="007A36F2">
        <w:rPr>
          <w:rFonts w:ascii="Arial" w:hAnsi="Arial" w:cs="Arial"/>
          <w:sz w:val="20"/>
          <w:szCs w:val="20"/>
        </w:rPr>
        <w:t>б</w:t>
      </w:r>
      <w:r w:rsidR="004F5BF6" w:rsidRPr="005F1178">
        <w:rPr>
          <w:rFonts w:ascii="Arial" w:hAnsi="Arial" w:cs="Arial"/>
          <w:sz w:val="20"/>
          <w:szCs w:val="20"/>
        </w:rPr>
        <w:t xml:space="preserve">анков. Рынок предоставления </w:t>
      </w:r>
      <w:r w:rsidR="007A36F2">
        <w:rPr>
          <w:rFonts w:ascii="Arial" w:hAnsi="Arial" w:cs="Arial"/>
          <w:sz w:val="20"/>
          <w:szCs w:val="20"/>
        </w:rPr>
        <w:t>б</w:t>
      </w:r>
      <w:r w:rsidR="004F5BF6" w:rsidRPr="005F1178">
        <w:rPr>
          <w:rFonts w:ascii="Arial" w:hAnsi="Arial" w:cs="Arial"/>
          <w:sz w:val="20"/>
          <w:szCs w:val="20"/>
        </w:rPr>
        <w:t xml:space="preserve">анковских услуг для МСБ будет конкурировать качеством услуги, а не набором услуг, хотя второе также является важным фактором. Но не первоочередным. В </w:t>
      </w:r>
      <w:proofErr w:type="spellStart"/>
      <w:r w:rsidR="004F5BF6" w:rsidRPr="005F1178">
        <w:rPr>
          <w:rFonts w:ascii="Arial" w:hAnsi="Arial" w:cs="Arial"/>
          <w:sz w:val="20"/>
          <w:szCs w:val="20"/>
        </w:rPr>
        <w:t>микросегменте</w:t>
      </w:r>
      <w:proofErr w:type="spellEnd"/>
      <w:r w:rsidR="004F5BF6" w:rsidRPr="005F1178">
        <w:rPr>
          <w:rFonts w:ascii="Arial" w:hAnsi="Arial" w:cs="Arial"/>
          <w:sz w:val="20"/>
          <w:szCs w:val="20"/>
        </w:rPr>
        <w:t xml:space="preserve"> (по </w:t>
      </w:r>
      <w:r w:rsidR="007A36F2">
        <w:rPr>
          <w:rFonts w:ascii="Arial" w:hAnsi="Arial" w:cs="Arial"/>
          <w:sz w:val="20"/>
          <w:szCs w:val="20"/>
        </w:rPr>
        <w:t>р</w:t>
      </w:r>
      <w:r w:rsidR="004F5BF6" w:rsidRPr="005F1178">
        <w:rPr>
          <w:rFonts w:ascii="Arial" w:hAnsi="Arial" w:cs="Arial"/>
          <w:sz w:val="20"/>
          <w:szCs w:val="20"/>
        </w:rPr>
        <w:t xml:space="preserve">оссийским меркам это клиенты с оборотом до 60 </w:t>
      </w:r>
      <w:proofErr w:type="gramStart"/>
      <w:r w:rsidR="004F5BF6" w:rsidRPr="005F1178">
        <w:rPr>
          <w:rFonts w:ascii="Arial" w:hAnsi="Arial" w:cs="Arial"/>
          <w:sz w:val="20"/>
          <w:szCs w:val="20"/>
        </w:rPr>
        <w:t>млн</w:t>
      </w:r>
      <w:proofErr w:type="gramEnd"/>
      <w:r w:rsidR="004F5BF6" w:rsidRPr="005F1178">
        <w:rPr>
          <w:rFonts w:ascii="Arial" w:hAnsi="Arial" w:cs="Arial"/>
          <w:sz w:val="20"/>
          <w:szCs w:val="20"/>
        </w:rPr>
        <w:t xml:space="preserve"> рублей в год) каждый отдельно взятый клиент имеет очень небольшой размер </w:t>
      </w:r>
      <w:r w:rsidR="007A36F2">
        <w:rPr>
          <w:rFonts w:ascii="Arial" w:hAnsi="Arial" w:cs="Arial"/>
          <w:sz w:val="20"/>
          <w:szCs w:val="20"/>
        </w:rPr>
        <w:t>б</w:t>
      </w:r>
      <w:r w:rsidR="004F5BF6" w:rsidRPr="005F1178">
        <w:rPr>
          <w:rFonts w:ascii="Arial" w:hAnsi="Arial" w:cs="Arial"/>
          <w:sz w:val="20"/>
          <w:szCs w:val="20"/>
        </w:rPr>
        <w:t xml:space="preserve">изнеса с </w:t>
      </w:r>
      <w:r w:rsidR="007A36F2">
        <w:rPr>
          <w:rFonts w:ascii="Arial" w:hAnsi="Arial" w:cs="Arial"/>
          <w:sz w:val="20"/>
          <w:szCs w:val="20"/>
        </w:rPr>
        <w:t>б</w:t>
      </w:r>
      <w:r w:rsidR="004F5BF6" w:rsidRPr="005F1178">
        <w:rPr>
          <w:rFonts w:ascii="Arial" w:hAnsi="Arial" w:cs="Arial"/>
          <w:sz w:val="20"/>
          <w:szCs w:val="20"/>
        </w:rPr>
        <w:t xml:space="preserve">анком, однако не менее требователен к сервису и продуктовому ряду. Здесь значительную роль играет выстраивание технологий работы с клиентом и процессов предоставления продуктов, которые обеспечат </w:t>
      </w:r>
      <w:r w:rsidR="007A36F2">
        <w:rPr>
          <w:rFonts w:ascii="Arial" w:hAnsi="Arial" w:cs="Arial"/>
          <w:sz w:val="20"/>
          <w:szCs w:val="20"/>
        </w:rPr>
        <w:t>б</w:t>
      </w:r>
      <w:r w:rsidR="004F5BF6" w:rsidRPr="005F1178">
        <w:rPr>
          <w:rFonts w:ascii="Arial" w:hAnsi="Arial" w:cs="Arial"/>
          <w:sz w:val="20"/>
          <w:szCs w:val="20"/>
        </w:rPr>
        <w:t xml:space="preserve">аланс между затратами на обслуживание такого клиента (доходом от </w:t>
      </w:r>
      <w:r w:rsidR="007A36F2">
        <w:rPr>
          <w:rFonts w:ascii="Arial" w:hAnsi="Arial" w:cs="Arial"/>
          <w:sz w:val="20"/>
          <w:szCs w:val="20"/>
        </w:rPr>
        <w:t>б</w:t>
      </w:r>
      <w:r w:rsidR="004F5BF6" w:rsidRPr="005F1178">
        <w:rPr>
          <w:rFonts w:ascii="Arial" w:hAnsi="Arial" w:cs="Arial"/>
          <w:sz w:val="20"/>
          <w:szCs w:val="20"/>
        </w:rPr>
        <w:t>изнеса с ним) и ожидаемым</w:t>
      </w:r>
      <w:r w:rsidR="004F663B">
        <w:rPr>
          <w:rFonts w:ascii="Arial" w:hAnsi="Arial" w:cs="Arial"/>
          <w:sz w:val="20"/>
          <w:szCs w:val="20"/>
        </w:rPr>
        <w:t xml:space="preserve"> </w:t>
      </w:r>
      <w:r w:rsidR="004F5BF6" w:rsidRPr="005F1178">
        <w:rPr>
          <w:rFonts w:ascii="Arial" w:hAnsi="Arial" w:cs="Arial"/>
          <w:sz w:val="20"/>
          <w:szCs w:val="20"/>
        </w:rPr>
        <w:t>уровнем обслуживания. Победит тот, кто будет аккуратен в расходах, грамотен в организации процессов и сможет обеспечить сервис, требования к которому у таких клиентов достаточно высокие.</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 xml:space="preserve">Что касается конкуренции и перестановок на рынке. Важно, что для среднего размера </w:t>
      </w:r>
      <w:r w:rsidR="004F663B">
        <w:rPr>
          <w:rFonts w:ascii="Arial" w:hAnsi="Arial" w:cs="Arial"/>
          <w:sz w:val="20"/>
          <w:szCs w:val="20"/>
        </w:rPr>
        <w:t>б</w:t>
      </w:r>
      <w:r w:rsidRPr="005F1178">
        <w:rPr>
          <w:rFonts w:ascii="Arial" w:hAnsi="Arial" w:cs="Arial"/>
          <w:sz w:val="20"/>
          <w:szCs w:val="20"/>
        </w:rPr>
        <w:t xml:space="preserve">анков со средней представленностью </w:t>
      </w:r>
      <w:r w:rsidR="004F663B">
        <w:rPr>
          <w:rFonts w:ascii="Arial" w:hAnsi="Arial" w:cs="Arial"/>
          <w:sz w:val="20"/>
          <w:szCs w:val="20"/>
        </w:rPr>
        <w:t>с</w:t>
      </w:r>
      <w:r w:rsidRPr="005F1178">
        <w:rPr>
          <w:rFonts w:ascii="Arial" w:hAnsi="Arial" w:cs="Arial"/>
          <w:sz w:val="20"/>
          <w:szCs w:val="20"/>
        </w:rPr>
        <w:t xml:space="preserve">ети продаж массовый сегмент клиентов </w:t>
      </w:r>
      <w:r w:rsidRPr="005F1178">
        <w:rPr>
          <w:rFonts w:ascii="Arial" w:hAnsi="Arial" w:cs="Arial"/>
          <w:sz w:val="20"/>
          <w:szCs w:val="20"/>
          <w:lang w:val="en-US"/>
        </w:rPr>
        <w:t>SME</w:t>
      </w:r>
      <w:r w:rsidRPr="005F1178">
        <w:rPr>
          <w:rFonts w:ascii="Arial" w:hAnsi="Arial" w:cs="Arial"/>
          <w:sz w:val="20"/>
          <w:szCs w:val="20"/>
        </w:rPr>
        <w:t xml:space="preserve"> (клиентов с годовым оборотом ближе к нижней границе </w:t>
      </w:r>
      <w:proofErr w:type="spellStart"/>
      <w:r w:rsidRPr="005F1178">
        <w:rPr>
          <w:rFonts w:ascii="Arial" w:hAnsi="Arial" w:cs="Arial"/>
          <w:sz w:val="20"/>
          <w:szCs w:val="20"/>
        </w:rPr>
        <w:t>микросегмента</w:t>
      </w:r>
      <w:proofErr w:type="spellEnd"/>
      <w:r w:rsidRPr="005F1178">
        <w:rPr>
          <w:rFonts w:ascii="Arial" w:hAnsi="Arial" w:cs="Arial"/>
          <w:sz w:val="20"/>
          <w:szCs w:val="20"/>
        </w:rPr>
        <w:t>)</w:t>
      </w:r>
      <w:r w:rsidR="004F663B">
        <w:rPr>
          <w:rFonts w:ascii="Arial" w:hAnsi="Arial" w:cs="Arial"/>
          <w:sz w:val="20"/>
          <w:szCs w:val="20"/>
        </w:rPr>
        <w:t>,</w:t>
      </w:r>
      <w:r w:rsidRPr="005F1178">
        <w:rPr>
          <w:rFonts w:ascii="Arial" w:hAnsi="Arial" w:cs="Arial"/>
          <w:sz w:val="20"/>
          <w:szCs w:val="20"/>
        </w:rPr>
        <w:t xml:space="preserve"> которые обычно пользуются </w:t>
      </w:r>
      <w:proofErr w:type="spellStart"/>
      <w:r w:rsidRPr="005F1178">
        <w:rPr>
          <w:rFonts w:ascii="Arial" w:hAnsi="Arial" w:cs="Arial"/>
          <w:sz w:val="20"/>
          <w:szCs w:val="20"/>
        </w:rPr>
        <w:t>беззалоговым</w:t>
      </w:r>
      <w:proofErr w:type="spellEnd"/>
      <w:r w:rsidRPr="005F1178">
        <w:rPr>
          <w:rFonts w:ascii="Arial" w:hAnsi="Arial" w:cs="Arial"/>
          <w:sz w:val="20"/>
          <w:szCs w:val="20"/>
        </w:rPr>
        <w:t xml:space="preserve"> кредитованием и «быстрыми» кредитными продуктами</w:t>
      </w:r>
      <w:r w:rsidR="004F663B">
        <w:rPr>
          <w:rFonts w:ascii="Arial" w:hAnsi="Arial" w:cs="Arial"/>
          <w:sz w:val="20"/>
          <w:szCs w:val="20"/>
        </w:rPr>
        <w:t>,</w:t>
      </w:r>
      <w:r w:rsidRPr="005F1178">
        <w:rPr>
          <w:rFonts w:ascii="Arial" w:hAnsi="Arial" w:cs="Arial"/>
          <w:sz w:val="20"/>
          <w:szCs w:val="20"/>
        </w:rPr>
        <w:t xml:space="preserve"> будут практически не доступны</w:t>
      </w:r>
      <w:r w:rsidR="004F663B">
        <w:rPr>
          <w:rFonts w:ascii="Arial" w:hAnsi="Arial" w:cs="Arial"/>
          <w:sz w:val="20"/>
          <w:szCs w:val="20"/>
        </w:rPr>
        <w:t>.</w:t>
      </w:r>
      <w:r w:rsidRPr="005F1178">
        <w:rPr>
          <w:rFonts w:ascii="Arial" w:hAnsi="Arial" w:cs="Arial"/>
          <w:sz w:val="20"/>
          <w:szCs w:val="20"/>
        </w:rPr>
        <w:t xml:space="preserve"> </w:t>
      </w:r>
      <w:r w:rsidR="004F663B">
        <w:rPr>
          <w:rFonts w:ascii="Arial" w:hAnsi="Arial" w:cs="Arial"/>
          <w:sz w:val="20"/>
          <w:szCs w:val="20"/>
        </w:rPr>
        <w:t>Э</w:t>
      </w:r>
      <w:r w:rsidRPr="005F1178">
        <w:rPr>
          <w:rFonts w:ascii="Arial" w:hAnsi="Arial" w:cs="Arial"/>
          <w:sz w:val="20"/>
          <w:szCs w:val="20"/>
        </w:rPr>
        <w:t xml:space="preserve">то клиенты </w:t>
      </w:r>
      <w:r w:rsidR="004F663B">
        <w:rPr>
          <w:rFonts w:ascii="Arial" w:hAnsi="Arial" w:cs="Arial"/>
          <w:sz w:val="20"/>
          <w:szCs w:val="20"/>
        </w:rPr>
        <w:t>б</w:t>
      </w:r>
      <w:r w:rsidRPr="005F1178">
        <w:rPr>
          <w:rFonts w:ascii="Arial" w:hAnsi="Arial" w:cs="Arial"/>
          <w:sz w:val="20"/>
          <w:szCs w:val="20"/>
        </w:rPr>
        <w:t xml:space="preserve">анков с большой </w:t>
      </w:r>
      <w:r w:rsidR="004F663B">
        <w:rPr>
          <w:rFonts w:ascii="Arial" w:hAnsi="Arial" w:cs="Arial"/>
          <w:sz w:val="20"/>
          <w:szCs w:val="20"/>
        </w:rPr>
        <w:t xml:space="preserve">и </w:t>
      </w:r>
      <w:r w:rsidRPr="005F1178">
        <w:rPr>
          <w:rFonts w:ascii="Arial" w:hAnsi="Arial" w:cs="Arial"/>
          <w:sz w:val="20"/>
          <w:szCs w:val="20"/>
        </w:rPr>
        <w:t xml:space="preserve">разветвленной </w:t>
      </w:r>
      <w:r w:rsidR="004F663B">
        <w:rPr>
          <w:rFonts w:ascii="Arial" w:hAnsi="Arial" w:cs="Arial"/>
          <w:sz w:val="20"/>
          <w:szCs w:val="20"/>
        </w:rPr>
        <w:t>с</w:t>
      </w:r>
      <w:r w:rsidRPr="005F1178">
        <w:rPr>
          <w:rFonts w:ascii="Arial" w:hAnsi="Arial" w:cs="Arial"/>
          <w:sz w:val="20"/>
          <w:szCs w:val="20"/>
        </w:rPr>
        <w:t xml:space="preserve">етью офисов. Сбербанк, ВТБ 24, и </w:t>
      </w:r>
      <w:proofErr w:type="spellStart"/>
      <w:r w:rsidRPr="005F1178">
        <w:rPr>
          <w:rFonts w:ascii="Arial" w:hAnsi="Arial" w:cs="Arial"/>
          <w:sz w:val="20"/>
          <w:szCs w:val="20"/>
        </w:rPr>
        <w:t>Россельхозбанк</w:t>
      </w:r>
      <w:proofErr w:type="spellEnd"/>
      <w:r w:rsidRPr="005F1178">
        <w:rPr>
          <w:rFonts w:ascii="Arial" w:hAnsi="Arial" w:cs="Arial"/>
          <w:sz w:val="20"/>
          <w:szCs w:val="20"/>
        </w:rPr>
        <w:t xml:space="preserve"> будут наращивать свою активность в работе с такими клиентами. Уже сейчас на этот рынок пробуют выходить крупные </w:t>
      </w:r>
      <w:proofErr w:type="spellStart"/>
      <w:r w:rsidRPr="005F1178">
        <w:rPr>
          <w:rFonts w:ascii="Arial" w:hAnsi="Arial" w:cs="Arial"/>
          <w:sz w:val="20"/>
          <w:szCs w:val="20"/>
        </w:rPr>
        <w:t>ритейловые</w:t>
      </w:r>
      <w:proofErr w:type="spellEnd"/>
      <w:r w:rsidRPr="005F1178">
        <w:rPr>
          <w:rFonts w:ascii="Arial" w:hAnsi="Arial" w:cs="Arial"/>
          <w:sz w:val="20"/>
          <w:szCs w:val="20"/>
        </w:rPr>
        <w:t xml:space="preserve"> игроки, в том числе и высокотехнологичные </w:t>
      </w:r>
      <w:r w:rsidR="004F663B">
        <w:rPr>
          <w:rFonts w:ascii="Arial" w:hAnsi="Arial" w:cs="Arial"/>
          <w:sz w:val="20"/>
          <w:szCs w:val="20"/>
        </w:rPr>
        <w:t>б</w:t>
      </w:r>
      <w:r w:rsidRPr="005F1178">
        <w:rPr>
          <w:rFonts w:ascii="Arial" w:hAnsi="Arial" w:cs="Arial"/>
          <w:sz w:val="20"/>
          <w:szCs w:val="20"/>
        </w:rPr>
        <w:t xml:space="preserve">анки без «тяжелых» сетей офисов, однако их успех будет </w:t>
      </w:r>
      <w:proofErr w:type="gramStart"/>
      <w:r w:rsidRPr="005F1178">
        <w:rPr>
          <w:rFonts w:ascii="Arial" w:hAnsi="Arial" w:cs="Arial"/>
          <w:sz w:val="20"/>
          <w:szCs w:val="20"/>
        </w:rPr>
        <w:t>зависеть</w:t>
      </w:r>
      <w:proofErr w:type="gramEnd"/>
      <w:r w:rsidRPr="005F1178">
        <w:rPr>
          <w:rFonts w:ascii="Arial" w:hAnsi="Arial" w:cs="Arial"/>
          <w:sz w:val="20"/>
          <w:szCs w:val="20"/>
        </w:rPr>
        <w:t xml:space="preserve"> в том числе от того</w:t>
      </w:r>
      <w:r w:rsidR="004F663B">
        <w:rPr>
          <w:rFonts w:ascii="Arial" w:hAnsi="Arial" w:cs="Arial"/>
          <w:sz w:val="20"/>
          <w:szCs w:val="20"/>
        </w:rPr>
        <w:t>,</w:t>
      </w:r>
      <w:r w:rsidRPr="005F1178">
        <w:rPr>
          <w:rFonts w:ascii="Arial" w:hAnsi="Arial" w:cs="Arial"/>
          <w:sz w:val="20"/>
          <w:szCs w:val="20"/>
        </w:rPr>
        <w:t xml:space="preserve"> какие риск-стратегии они будут применять для оценки таких клиентов. Здесь первенство будет </w:t>
      </w:r>
      <w:r w:rsidR="004F663B">
        <w:rPr>
          <w:rFonts w:ascii="Arial" w:hAnsi="Arial" w:cs="Arial"/>
          <w:sz w:val="20"/>
          <w:szCs w:val="20"/>
        </w:rPr>
        <w:t xml:space="preserve">всегда </w:t>
      </w:r>
      <w:r w:rsidRPr="005F1178">
        <w:rPr>
          <w:rFonts w:ascii="Arial" w:hAnsi="Arial" w:cs="Arial"/>
          <w:sz w:val="20"/>
          <w:szCs w:val="20"/>
        </w:rPr>
        <w:t xml:space="preserve">принадлежать доступности, в данном случае </w:t>
      </w:r>
      <w:r w:rsidR="004F663B">
        <w:rPr>
          <w:rFonts w:ascii="Arial" w:hAnsi="Arial" w:cs="Arial"/>
          <w:sz w:val="20"/>
          <w:szCs w:val="20"/>
        </w:rPr>
        <w:t xml:space="preserve">– </w:t>
      </w:r>
      <w:r w:rsidRPr="005F1178">
        <w:rPr>
          <w:rFonts w:ascii="Arial" w:hAnsi="Arial" w:cs="Arial"/>
          <w:sz w:val="20"/>
          <w:szCs w:val="20"/>
        </w:rPr>
        <w:t xml:space="preserve">наличию возможности доступа к таким кредитам, и технологичности, чтобы этот бизнес был рентабелен бля </w:t>
      </w:r>
      <w:r w:rsidR="00605969">
        <w:rPr>
          <w:rFonts w:ascii="Arial" w:hAnsi="Arial" w:cs="Arial"/>
          <w:sz w:val="20"/>
          <w:szCs w:val="20"/>
        </w:rPr>
        <w:t>б</w:t>
      </w:r>
      <w:r w:rsidRPr="005F1178">
        <w:rPr>
          <w:rFonts w:ascii="Arial" w:hAnsi="Arial" w:cs="Arial"/>
          <w:sz w:val="20"/>
          <w:szCs w:val="20"/>
        </w:rPr>
        <w:t xml:space="preserve">анка. Средние по размеру </w:t>
      </w:r>
      <w:r w:rsidR="00605969">
        <w:rPr>
          <w:rFonts w:ascii="Arial" w:hAnsi="Arial" w:cs="Arial"/>
          <w:sz w:val="20"/>
          <w:szCs w:val="20"/>
        </w:rPr>
        <w:t>б</w:t>
      </w:r>
      <w:r w:rsidRPr="005F1178">
        <w:rPr>
          <w:rFonts w:ascii="Arial" w:hAnsi="Arial" w:cs="Arial"/>
          <w:sz w:val="20"/>
          <w:szCs w:val="20"/>
        </w:rPr>
        <w:t>анки будут больше ориентированы на клиентов</w:t>
      </w:r>
      <w:r w:rsidR="00605969">
        <w:rPr>
          <w:rFonts w:ascii="Arial" w:hAnsi="Arial" w:cs="Arial"/>
          <w:sz w:val="20"/>
          <w:szCs w:val="20"/>
        </w:rPr>
        <w:t>, которые находятся</w:t>
      </w:r>
      <w:r w:rsidRPr="005F1178">
        <w:rPr>
          <w:rFonts w:ascii="Arial" w:hAnsi="Arial" w:cs="Arial"/>
          <w:sz w:val="20"/>
          <w:szCs w:val="20"/>
        </w:rPr>
        <w:t xml:space="preserve"> ближе к верхней границе отсечения  в 60 </w:t>
      </w:r>
      <w:proofErr w:type="gramStart"/>
      <w:r w:rsidRPr="005F1178">
        <w:rPr>
          <w:rFonts w:ascii="Arial" w:hAnsi="Arial" w:cs="Arial"/>
          <w:sz w:val="20"/>
          <w:szCs w:val="20"/>
        </w:rPr>
        <w:t>млн</w:t>
      </w:r>
      <w:proofErr w:type="gramEnd"/>
      <w:r w:rsidRPr="005F1178">
        <w:rPr>
          <w:rFonts w:ascii="Arial" w:hAnsi="Arial" w:cs="Arial"/>
          <w:sz w:val="20"/>
          <w:szCs w:val="20"/>
        </w:rPr>
        <w:t xml:space="preserve"> рублей годового оборота, а также на клиентов малого и среднего бизнеса. Здесь буд</w:t>
      </w:r>
      <w:r w:rsidR="00605969">
        <w:rPr>
          <w:rFonts w:ascii="Arial" w:hAnsi="Arial" w:cs="Arial"/>
          <w:sz w:val="20"/>
          <w:szCs w:val="20"/>
        </w:rPr>
        <w:t>у</w:t>
      </w:r>
      <w:r w:rsidRPr="005F1178">
        <w:rPr>
          <w:rFonts w:ascii="Arial" w:hAnsi="Arial" w:cs="Arial"/>
          <w:sz w:val="20"/>
          <w:szCs w:val="20"/>
        </w:rPr>
        <w:t xml:space="preserve">т всегда появляться новые игроки рынка, как это </w:t>
      </w:r>
      <w:proofErr w:type="spellStart"/>
      <w:r w:rsidRPr="005F1178">
        <w:rPr>
          <w:rFonts w:ascii="Arial" w:hAnsi="Arial" w:cs="Arial"/>
          <w:sz w:val="20"/>
          <w:szCs w:val="20"/>
        </w:rPr>
        <w:t>происходилои</w:t>
      </w:r>
      <w:proofErr w:type="spellEnd"/>
      <w:r w:rsidRPr="005F1178">
        <w:rPr>
          <w:rFonts w:ascii="Arial" w:hAnsi="Arial" w:cs="Arial"/>
          <w:sz w:val="20"/>
          <w:szCs w:val="20"/>
        </w:rPr>
        <w:t xml:space="preserve"> в 2012 году. </w:t>
      </w:r>
    </w:p>
    <w:p w:rsidR="004F5BF6" w:rsidRPr="005F1178" w:rsidRDefault="004F5BF6" w:rsidP="004F5BF6">
      <w:pPr>
        <w:ind w:firstLine="567"/>
        <w:jc w:val="both"/>
        <w:rPr>
          <w:rFonts w:ascii="Arial" w:hAnsi="Arial" w:cs="Arial"/>
          <w:sz w:val="20"/>
          <w:szCs w:val="20"/>
        </w:rPr>
      </w:pPr>
    </w:p>
    <w:p w:rsidR="004F5BF6" w:rsidRPr="005F1178" w:rsidRDefault="00605969" w:rsidP="0080651F">
      <w:pPr>
        <w:spacing w:after="0"/>
        <w:ind w:left="1287"/>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 xml:space="preserve">Насколько перспективной является стратегия выстраивания обслуживания МСБ по комплексным тарифным планам (предусматривающим одновременно РКО, </w:t>
      </w:r>
      <w:proofErr w:type="spellStart"/>
      <w:r w:rsidR="004F5BF6" w:rsidRPr="005F1178">
        <w:rPr>
          <w:rFonts w:ascii="Arial" w:hAnsi="Arial" w:cs="Arial"/>
          <w:b/>
          <w:sz w:val="20"/>
          <w:szCs w:val="20"/>
        </w:rPr>
        <w:t>овердрафтное</w:t>
      </w:r>
      <w:proofErr w:type="spellEnd"/>
      <w:r w:rsidR="004F5BF6" w:rsidRPr="005F1178">
        <w:rPr>
          <w:rFonts w:ascii="Arial" w:hAnsi="Arial" w:cs="Arial"/>
          <w:b/>
          <w:sz w:val="20"/>
          <w:szCs w:val="20"/>
        </w:rPr>
        <w:t xml:space="preserve"> кредитование и т.</w:t>
      </w:r>
      <w:r w:rsidR="00B10AB9">
        <w:rPr>
          <w:rFonts w:ascii="Arial" w:hAnsi="Arial" w:cs="Arial"/>
          <w:b/>
          <w:sz w:val="20"/>
          <w:szCs w:val="20"/>
        </w:rPr>
        <w:t xml:space="preserve"> </w:t>
      </w:r>
      <w:r w:rsidR="004F5BF6" w:rsidRPr="005F1178">
        <w:rPr>
          <w:rFonts w:ascii="Arial" w:hAnsi="Arial" w:cs="Arial"/>
          <w:b/>
          <w:sz w:val="20"/>
          <w:szCs w:val="20"/>
        </w:rPr>
        <w:t xml:space="preserve">д.)? Насколько при этом могут расти непроцентные и процентные доходы </w:t>
      </w:r>
      <w:r w:rsidR="00B10AB9">
        <w:rPr>
          <w:rFonts w:ascii="Arial" w:hAnsi="Arial" w:cs="Arial"/>
          <w:b/>
          <w:sz w:val="20"/>
          <w:szCs w:val="20"/>
        </w:rPr>
        <w:t>б</w:t>
      </w:r>
      <w:r w:rsidR="004F5BF6" w:rsidRPr="005F1178">
        <w:rPr>
          <w:rFonts w:ascii="Arial" w:hAnsi="Arial" w:cs="Arial"/>
          <w:b/>
          <w:sz w:val="20"/>
          <w:szCs w:val="20"/>
        </w:rPr>
        <w:t>анка по сравнению с обычной тарифной линейкой?</w:t>
      </w:r>
    </w:p>
    <w:p w:rsidR="004F5BF6" w:rsidRPr="005F1178" w:rsidRDefault="00B10AB9"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 xml:space="preserve">Мировые тенденции развития бизнеса МСБ </w:t>
      </w:r>
      <w:r>
        <w:rPr>
          <w:rFonts w:ascii="Arial" w:hAnsi="Arial" w:cs="Arial"/>
          <w:sz w:val="20"/>
          <w:szCs w:val="20"/>
        </w:rPr>
        <w:t xml:space="preserve">– </w:t>
      </w:r>
      <w:r w:rsidR="004F5BF6" w:rsidRPr="005F1178">
        <w:rPr>
          <w:rFonts w:ascii="Arial" w:hAnsi="Arial" w:cs="Arial"/>
          <w:sz w:val="20"/>
          <w:szCs w:val="20"/>
        </w:rPr>
        <w:t xml:space="preserve">это не только </w:t>
      </w:r>
      <w:r>
        <w:rPr>
          <w:rFonts w:ascii="Arial" w:hAnsi="Arial" w:cs="Arial"/>
          <w:sz w:val="20"/>
          <w:szCs w:val="20"/>
        </w:rPr>
        <w:t>(</w:t>
      </w:r>
      <w:r w:rsidR="004F5BF6" w:rsidRPr="005F1178">
        <w:rPr>
          <w:rFonts w:ascii="Arial" w:hAnsi="Arial" w:cs="Arial"/>
          <w:sz w:val="20"/>
          <w:szCs w:val="20"/>
        </w:rPr>
        <w:t>или не столько</w:t>
      </w:r>
      <w:r>
        <w:rPr>
          <w:rFonts w:ascii="Arial" w:hAnsi="Arial" w:cs="Arial"/>
          <w:sz w:val="20"/>
          <w:szCs w:val="20"/>
        </w:rPr>
        <w:t>)</w:t>
      </w:r>
      <w:r w:rsidR="004F5BF6" w:rsidRPr="005F1178">
        <w:rPr>
          <w:rFonts w:ascii="Arial" w:hAnsi="Arial" w:cs="Arial"/>
          <w:sz w:val="20"/>
          <w:szCs w:val="20"/>
        </w:rPr>
        <w:t xml:space="preserve"> развитие кредитования. Основная масса клиентов банка </w:t>
      </w:r>
      <w:r>
        <w:rPr>
          <w:rFonts w:ascii="Arial" w:hAnsi="Arial" w:cs="Arial"/>
          <w:sz w:val="20"/>
          <w:szCs w:val="20"/>
        </w:rPr>
        <w:t>(</w:t>
      </w:r>
      <w:r w:rsidR="004F5BF6" w:rsidRPr="005F1178">
        <w:rPr>
          <w:rFonts w:ascii="Arial" w:hAnsi="Arial" w:cs="Arial"/>
          <w:sz w:val="20"/>
          <w:szCs w:val="20"/>
        </w:rPr>
        <w:t>более 80%</w:t>
      </w:r>
      <w:r>
        <w:rPr>
          <w:rFonts w:ascii="Arial" w:hAnsi="Arial" w:cs="Arial"/>
          <w:sz w:val="20"/>
          <w:szCs w:val="20"/>
        </w:rPr>
        <w:t>)</w:t>
      </w:r>
      <w:r w:rsidR="004F5BF6" w:rsidRPr="005F1178">
        <w:rPr>
          <w:rFonts w:ascii="Arial" w:hAnsi="Arial" w:cs="Arial"/>
          <w:sz w:val="20"/>
          <w:szCs w:val="20"/>
        </w:rPr>
        <w:t xml:space="preserve"> никогда не пользуется или пользуется ограниченным набором кредитных продуктов, </w:t>
      </w:r>
      <w:proofErr w:type="gramStart"/>
      <w:r w:rsidR="004F5BF6" w:rsidRPr="005F1178">
        <w:rPr>
          <w:rFonts w:ascii="Arial" w:hAnsi="Arial" w:cs="Arial"/>
          <w:sz w:val="20"/>
          <w:szCs w:val="20"/>
        </w:rPr>
        <w:t>например</w:t>
      </w:r>
      <w:proofErr w:type="gramEnd"/>
      <w:r w:rsidR="004F5BF6" w:rsidRPr="005F1178">
        <w:rPr>
          <w:rFonts w:ascii="Arial" w:hAnsi="Arial" w:cs="Arial"/>
          <w:sz w:val="20"/>
          <w:szCs w:val="20"/>
        </w:rPr>
        <w:t xml:space="preserve"> только кредитованием счета, овердрафтом. Но все клиенты </w:t>
      </w:r>
      <w:r>
        <w:rPr>
          <w:rFonts w:ascii="Arial" w:hAnsi="Arial" w:cs="Arial"/>
          <w:sz w:val="20"/>
          <w:szCs w:val="20"/>
        </w:rPr>
        <w:t>(</w:t>
      </w:r>
      <w:r w:rsidR="004F5BF6" w:rsidRPr="005F1178">
        <w:rPr>
          <w:rFonts w:ascii="Arial" w:hAnsi="Arial" w:cs="Arial"/>
          <w:sz w:val="20"/>
          <w:szCs w:val="20"/>
        </w:rPr>
        <w:t>юридические лица и частные предприниматели</w:t>
      </w:r>
      <w:r>
        <w:rPr>
          <w:rFonts w:ascii="Arial" w:hAnsi="Arial" w:cs="Arial"/>
          <w:sz w:val="20"/>
          <w:szCs w:val="20"/>
        </w:rPr>
        <w:t>)</w:t>
      </w:r>
      <w:r w:rsidR="004F5BF6" w:rsidRPr="005F1178">
        <w:rPr>
          <w:rFonts w:ascii="Arial" w:hAnsi="Arial" w:cs="Arial"/>
          <w:sz w:val="20"/>
          <w:szCs w:val="20"/>
        </w:rPr>
        <w:t xml:space="preserve"> имеют счет в банке, проводят операции и держат свои средства. Поэтому услуги </w:t>
      </w:r>
      <w:r>
        <w:rPr>
          <w:rFonts w:ascii="Arial" w:hAnsi="Arial" w:cs="Arial"/>
          <w:sz w:val="20"/>
          <w:szCs w:val="20"/>
        </w:rPr>
        <w:t>б</w:t>
      </w:r>
      <w:r w:rsidR="004F5BF6" w:rsidRPr="005F1178">
        <w:rPr>
          <w:rFonts w:ascii="Arial" w:hAnsi="Arial" w:cs="Arial"/>
          <w:sz w:val="20"/>
          <w:szCs w:val="20"/>
        </w:rPr>
        <w:t xml:space="preserve">анка по ведению счетов </w:t>
      </w:r>
      <w:r w:rsidR="004F5BF6" w:rsidRPr="005F1178">
        <w:rPr>
          <w:rFonts w:ascii="Arial" w:hAnsi="Arial" w:cs="Arial"/>
          <w:sz w:val="20"/>
          <w:szCs w:val="20"/>
        </w:rPr>
        <w:lastRenderedPageBreak/>
        <w:t>клиентов и предоставлени</w:t>
      </w:r>
      <w:r>
        <w:rPr>
          <w:rFonts w:ascii="Arial" w:hAnsi="Arial" w:cs="Arial"/>
          <w:sz w:val="20"/>
          <w:szCs w:val="20"/>
        </w:rPr>
        <w:t>ю</w:t>
      </w:r>
      <w:r w:rsidR="004F5BF6" w:rsidRPr="005F1178">
        <w:rPr>
          <w:rFonts w:ascii="Arial" w:hAnsi="Arial" w:cs="Arial"/>
          <w:sz w:val="20"/>
          <w:szCs w:val="20"/>
        </w:rPr>
        <w:t xml:space="preserve"> комиссионных сервисов будут всегда востребованы </w:t>
      </w:r>
      <w:r>
        <w:rPr>
          <w:rFonts w:ascii="Arial" w:hAnsi="Arial" w:cs="Arial"/>
          <w:sz w:val="20"/>
          <w:szCs w:val="20"/>
        </w:rPr>
        <w:t>к</w:t>
      </w:r>
      <w:r w:rsidR="004F5BF6" w:rsidRPr="005F1178">
        <w:rPr>
          <w:rFonts w:ascii="Arial" w:hAnsi="Arial" w:cs="Arial"/>
          <w:sz w:val="20"/>
          <w:szCs w:val="20"/>
        </w:rPr>
        <w:t xml:space="preserve">лиентами. Комплекс услуг: обслуживание счета, остатки на счете, валютные операции и пользование другими сервисами банка, относящимися к  расчетному счету клиента, способны сделать сотрудничество банка с клиентом МСБ рентабельным для банка. Например, </w:t>
      </w:r>
      <w:r>
        <w:rPr>
          <w:rFonts w:ascii="Arial" w:hAnsi="Arial" w:cs="Arial"/>
          <w:sz w:val="20"/>
          <w:szCs w:val="20"/>
        </w:rPr>
        <w:t>«</w:t>
      </w:r>
      <w:r w:rsidR="004F5BF6" w:rsidRPr="005F1178">
        <w:rPr>
          <w:rFonts w:ascii="Arial" w:hAnsi="Arial" w:cs="Arial"/>
          <w:sz w:val="20"/>
          <w:szCs w:val="20"/>
        </w:rPr>
        <w:t>Альфа</w:t>
      </w:r>
      <w:r w:rsidR="002A3CE0">
        <w:rPr>
          <w:rFonts w:ascii="Arial" w:hAnsi="Arial" w:cs="Arial"/>
          <w:sz w:val="20"/>
          <w:szCs w:val="20"/>
        </w:rPr>
        <w:t>-</w:t>
      </w:r>
      <w:r w:rsidR="004F5BF6" w:rsidRPr="005F1178">
        <w:rPr>
          <w:rFonts w:ascii="Arial" w:hAnsi="Arial" w:cs="Arial"/>
          <w:sz w:val="20"/>
          <w:szCs w:val="20"/>
        </w:rPr>
        <w:t>Банк</w:t>
      </w:r>
      <w:r>
        <w:rPr>
          <w:rFonts w:ascii="Arial" w:hAnsi="Arial" w:cs="Arial"/>
          <w:sz w:val="20"/>
          <w:szCs w:val="20"/>
        </w:rPr>
        <w:t>»</w:t>
      </w:r>
      <w:r w:rsidR="004F5BF6" w:rsidRPr="005F1178">
        <w:rPr>
          <w:rFonts w:ascii="Arial" w:hAnsi="Arial" w:cs="Arial"/>
          <w:sz w:val="20"/>
          <w:szCs w:val="20"/>
        </w:rPr>
        <w:t xml:space="preserve"> выбрал в качестве флагманского направления для развития </w:t>
      </w:r>
      <w:r>
        <w:rPr>
          <w:rFonts w:ascii="Arial" w:hAnsi="Arial" w:cs="Arial"/>
          <w:sz w:val="20"/>
          <w:szCs w:val="20"/>
        </w:rPr>
        <w:t>б</w:t>
      </w:r>
      <w:r w:rsidR="004F5BF6" w:rsidRPr="005F1178">
        <w:rPr>
          <w:rFonts w:ascii="Arial" w:hAnsi="Arial" w:cs="Arial"/>
          <w:sz w:val="20"/>
          <w:szCs w:val="20"/>
        </w:rPr>
        <w:t>изнеса с МСБ</w:t>
      </w:r>
      <w:r>
        <w:rPr>
          <w:rFonts w:ascii="Arial" w:hAnsi="Arial" w:cs="Arial"/>
          <w:sz w:val="20"/>
          <w:szCs w:val="20"/>
        </w:rPr>
        <w:t>-</w:t>
      </w:r>
      <w:r w:rsidR="004F5BF6" w:rsidRPr="005F1178">
        <w:rPr>
          <w:rFonts w:ascii="Arial" w:hAnsi="Arial" w:cs="Arial"/>
          <w:sz w:val="20"/>
          <w:szCs w:val="20"/>
        </w:rPr>
        <w:t xml:space="preserve">клиентами именно комиссионный </w:t>
      </w:r>
      <w:r>
        <w:rPr>
          <w:rFonts w:ascii="Arial" w:hAnsi="Arial" w:cs="Arial"/>
          <w:sz w:val="20"/>
          <w:szCs w:val="20"/>
        </w:rPr>
        <w:t>б</w:t>
      </w:r>
      <w:r w:rsidR="004F5BF6" w:rsidRPr="005F1178">
        <w:rPr>
          <w:rFonts w:ascii="Arial" w:hAnsi="Arial" w:cs="Arial"/>
          <w:sz w:val="20"/>
          <w:szCs w:val="20"/>
        </w:rPr>
        <w:t xml:space="preserve">изнес </w:t>
      </w:r>
      <w:r>
        <w:rPr>
          <w:rFonts w:ascii="Arial" w:hAnsi="Arial" w:cs="Arial"/>
          <w:sz w:val="20"/>
          <w:szCs w:val="20"/>
        </w:rPr>
        <w:t>–</w:t>
      </w:r>
      <w:r w:rsidR="004F5BF6" w:rsidRPr="005F1178">
        <w:rPr>
          <w:rFonts w:ascii="Arial" w:hAnsi="Arial" w:cs="Arial"/>
          <w:sz w:val="20"/>
          <w:szCs w:val="20"/>
        </w:rPr>
        <w:t xml:space="preserve"> стратегию активного развития комиссионного бизнеса</w:t>
      </w:r>
      <w:r>
        <w:rPr>
          <w:rFonts w:ascii="Arial" w:hAnsi="Arial" w:cs="Arial"/>
          <w:sz w:val="20"/>
          <w:szCs w:val="20"/>
        </w:rPr>
        <w:t>.</w:t>
      </w:r>
      <w:r w:rsidR="004F5BF6" w:rsidRPr="005F1178">
        <w:rPr>
          <w:rFonts w:ascii="Arial" w:hAnsi="Arial" w:cs="Arial"/>
          <w:sz w:val="20"/>
          <w:szCs w:val="20"/>
        </w:rPr>
        <w:t xml:space="preserve"> </w:t>
      </w:r>
      <w:r>
        <w:rPr>
          <w:rFonts w:ascii="Arial" w:hAnsi="Arial" w:cs="Arial"/>
          <w:sz w:val="20"/>
          <w:szCs w:val="20"/>
        </w:rPr>
        <w:t>И</w:t>
      </w:r>
      <w:r w:rsidR="004F5BF6" w:rsidRPr="005F1178">
        <w:rPr>
          <w:rFonts w:ascii="Arial" w:hAnsi="Arial" w:cs="Arial"/>
          <w:sz w:val="20"/>
          <w:szCs w:val="20"/>
        </w:rPr>
        <w:t xml:space="preserve"> очень </w:t>
      </w:r>
      <w:proofErr w:type="gramStart"/>
      <w:r w:rsidR="004F5BF6" w:rsidRPr="005F1178">
        <w:rPr>
          <w:rFonts w:ascii="Arial" w:hAnsi="Arial" w:cs="Arial"/>
          <w:sz w:val="20"/>
          <w:szCs w:val="20"/>
        </w:rPr>
        <w:t>успешен</w:t>
      </w:r>
      <w:proofErr w:type="gramEnd"/>
      <w:r w:rsidR="004F5BF6" w:rsidRPr="005F1178">
        <w:rPr>
          <w:rFonts w:ascii="Arial" w:hAnsi="Arial" w:cs="Arial"/>
          <w:sz w:val="20"/>
          <w:szCs w:val="20"/>
        </w:rPr>
        <w:t xml:space="preserve"> в ее реализации. Активное развитие и предложение рынку малого бизнеса услуг РКО будет только расти. В этой связи комплексные пакетные предложения </w:t>
      </w:r>
      <w:r w:rsidR="001155D0">
        <w:rPr>
          <w:rFonts w:ascii="Arial" w:hAnsi="Arial" w:cs="Arial"/>
          <w:sz w:val="20"/>
          <w:szCs w:val="20"/>
        </w:rPr>
        <w:t>(</w:t>
      </w:r>
      <w:r w:rsidR="004F5BF6" w:rsidRPr="005F1178">
        <w:rPr>
          <w:rFonts w:ascii="Arial" w:hAnsi="Arial" w:cs="Arial"/>
          <w:sz w:val="20"/>
          <w:szCs w:val="20"/>
        </w:rPr>
        <w:t>например, набор продуктов по специальной цене, в том числе включающий и кредитные предложения</w:t>
      </w:r>
      <w:r w:rsidR="001155D0">
        <w:rPr>
          <w:rFonts w:ascii="Arial" w:hAnsi="Arial" w:cs="Arial"/>
          <w:sz w:val="20"/>
          <w:szCs w:val="20"/>
        </w:rPr>
        <w:t>)</w:t>
      </w:r>
      <w:r w:rsidR="004F5BF6" w:rsidRPr="005F1178">
        <w:rPr>
          <w:rFonts w:ascii="Arial" w:hAnsi="Arial" w:cs="Arial"/>
          <w:sz w:val="20"/>
          <w:szCs w:val="20"/>
        </w:rPr>
        <w:t xml:space="preserve"> будут и дальше а</w:t>
      </w:r>
      <w:r w:rsidR="001155D0">
        <w:rPr>
          <w:rFonts w:ascii="Arial" w:hAnsi="Arial" w:cs="Arial"/>
          <w:sz w:val="20"/>
          <w:szCs w:val="20"/>
        </w:rPr>
        <w:t>к</w:t>
      </w:r>
      <w:r w:rsidR="004F5BF6" w:rsidRPr="005F1178">
        <w:rPr>
          <w:rFonts w:ascii="Arial" w:hAnsi="Arial" w:cs="Arial"/>
          <w:sz w:val="20"/>
          <w:szCs w:val="20"/>
        </w:rPr>
        <w:t xml:space="preserve">тивно предлагаться банками. Спрос со стороны клиентов на пакетные предложения стабильно высокий и продолжает расти. </w:t>
      </w:r>
      <w:r w:rsidR="001155D0">
        <w:rPr>
          <w:rFonts w:ascii="Arial" w:hAnsi="Arial" w:cs="Arial"/>
          <w:sz w:val="20"/>
          <w:szCs w:val="20"/>
        </w:rPr>
        <w:t>Услугу легко оплатить</w:t>
      </w:r>
      <w:r w:rsidR="004F5BF6" w:rsidRPr="005F1178">
        <w:rPr>
          <w:rFonts w:ascii="Arial" w:hAnsi="Arial" w:cs="Arial"/>
          <w:sz w:val="20"/>
          <w:szCs w:val="20"/>
        </w:rPr>
        <w:t>, а также</w:t>
      </w:r>
      <w:r w:rsidR="001155D0">
        <w:rPr>
          <w:rFonts w:ascii="Arial" w:hAnsi="Arial" w:cs="Arial"/>
          <w:sz w:val="20"/>
          <w:szCs w:val="20"/>
        </w:rPr>
        <w:t xml:space="preserve"> </w:t>
      </w:r>
      <w:r w:rsidR="004F5BF6" w:rsidRPr="005F1178">
        <w:rPr>
          <w:rFonts w:ascii="Arial" w:hAnsi="Arial" w:cs="Arial"/>
          <w:sz w:val="20"/>
          <w:szCs w:val="20"/>
        </w:rPr>
        <w:t>более дешевая</w:t>
      </w:r>
      <w:r w:rsidR="001155D0">
        <w:rPr>
          <w:rFonts w:ascii="Arial" w:hAnsi="Arial" w:cs="Arial"/>
          <w:sz w:val="20"/>
          <w:szCs w:val="20"/>
        </w:rPr>
        <w:t xml:space="preserve"> и</w:t>
      </w:r>
      <w:r w:rsidR="004F5BF6" w:rsidRPr="005F1178">
        <w:rPr>
          <w:rFonts w:ascii="Arial" w:hAnsi="Arial" w:cs="Arial"/>
          <w:sz w:val="20"/>
          <w:szCs w:val="20"/>
        </w:rPr>
        <w:t xml:space="preserve"> предсказуемая цена за банковские услуги в рамках пакета играет немаловажную роль. </w:t>
      </w:r>
      <w:r w:rsidR="001155D0">
        <w:rPr>
          <w:rFonts w:ascii="Arial" w:hAnsi="Arial" w:cs="Arial"/>
          <w:sz w:val="20"/>
          <w:szCs w:val="20"/>
        </w:rPr>
        <w:t>Е</w:t>
      </w:r>
      <w:r w:rsidR="004F5BF6" w:rsidRPr="005F1178">
        <w:rPr>
          <w:rFonts w:ascii="Arial" w:hAnsi="Arial" w:cs="Arial"/>
          <w:sz w:val="20"/>
          <w:szCs w:val="20"/>
        </w:rPr>
        <w:t>сли в пакет входят кредитные продукты, то</w:t>
      </w:r>
      <w:r w:rsidR="001155D0">
        <w:rPr>
          <w:rFonts w:ascii="Arial" w:hAnsi="Arial" w:cs="Arial"/>
          <w:sz w:val="20"/>
          <w:szCs w:val="20"/>
        </w:rPr>
        <w:t>,</w:t>
      </w:r>
      <w:r w:rsidR="004F5BF6" w:rsidRPr="005F1178">
        <w:rPr>
          <w:rFonts w:ascii="Arial" w:hAnsi="Arial" w:cs="Arial"/>
          <w:sz w:val="20"/>
          <w:szCs w:val="20"/>
        </w:rPr>
        <w:t xml:space="preserve"> скорее всего</w:t>
      </w:r>
      <w:r w:rsidR="001155D0">
        <w:rPr>
          <w:rFonts w:ascii="Arial" w:hAnsi="Arial" w:cs="Arial"/>
          <w:sz w:val="20"/>
          <w:szCs w:val="20"/>
        </w:rPr>
        <w:t>,</w:t>
      </w:r>
      <w:r w:rsidR="004F5BF6" w:rsidRPr="005F1178">
        <w:rPr>
          <w:rFonts w:ascii="Arial" w:hAnsi="Arial" w:cs="Arial"/>
          <w:sz w:val="20"/>
          <w:szCs w:val="20"/>
        </w:rPr>
        <w:t xml:space="preserve"> цена кредитного продукта будет ниже стандартного кредита. Для банка пакет </w:t>
      </w:r>
      <w:r w:rsidR="001155D0">
        <w:rPr>
          <w:rFonts w:ascii="Arial" w:hAnsi="Arial" w:cs="Arial"/>
          <w:sz w:val="20"/>
          <w:szCs w:val="20"/>
        </w:rPr>
        <w:t>–</w:t>
      </w:r>
      <w:r w:rsidR="004F5BF6" w:rsidRPr="005F1178">
        <w:rPr>
          <w:rFonts w:ascii="Arial" w:hAnsi="Arial" w:cs="Arial"/>
          <w:sz w:val="20"/>
          <w:szCs w:val="20"/>
        </w:rPr>
        <w:t xml:space="preserve"> это тоже очень выгодный вариант сотрудничества, ведь только комплекс услуг – их набор – обеспечивает рентабельность </w:t>
      </w:r>
      <w:r w:rsidR="001155D0">
        <w:rPr>
          <w:rFonts w:ascii="Arial" w:hAnsi="Arial" w:cs="Arial"/>
          <w:sz w:val="20"/>
          <w:szCs w:val="20"/>
        </w:rPr>
        <w:t>б</w:t>
      </w:r>
      <w:r w:rsidR="004F5BF6" w:rsidRPr="005F1178">
        <w:rPr>
          <w:rFonts w:ascii="Arial" w:hAnsi="Arial" w:cs="Arial"/>
          <w:sz w:val="20"/>
          <w:szCs w:val="20"/>
        </w:rPr>
        <w:t>изнеса с МСБ</w:t>
      </w:r>
      <w:r w:rsidR="001155D0">
        <w:rPr>
          <w:rFonts w:ascii="Arial" w:hAnsi="Arial" w:cs="Arial"/>
          <w:sz w:val="20"/>
          <w:szCs w:val="20"/>
        </w:rPr>
        <w:t>-</w:t>
      </w:r>
      <w:r w:rsidR="004F5BF6" w:rsidRPr="005F1178">
        <w:rPr>
          <w:rFonts w:ascii="Arial" w:hAnsi="Arial" w:cs="Arial"/>
          <w:sz w:val="20"/>
          <w:szCs w:val="20"/>
        </w:rPr>
        <w:t xml:space="preserve">клиентами. Большинство игроков рынка используют пакетные предложения, для многих это услуги из основной продуктовой линейки – постоянно действующего предложения. Пока не так часто встречаются «пакеты» </w:t>
      </w:r>
      <w:r w:rsidR="004F5BF6" w:rsidRPr="005F1178">
        <w:rPr>
          <w:rFonts w:ascii="Arial" w:hAnsi="Arial" w:cs="Arial"/>
          <w:sz w:val="20"/>
          <w:szCs w:val="20"/>
          <w:lang w:val="en-US"/>
        </w:rPr>
        <w:t>SME</w:t>
      </w:r>
      <w:r w:rsidR="004F5BF6" w:rsidRPr="005F1178">
        <w:rPr>
          <w:rFonts w:ascii="Arial" w:hAnsi="Arial" w:cs="Arial"/>
          <w:sz w:val="20"/>
          <w:szCs w:val="20"/>
        </w:rPr>
        <w:t>, включающие  продукты с риском (кредиты и овердрафты) и комиссионные продукты</w:t>
      </w:r>
      <w:r w:rsidR="001155D0">
        <w:rPr>
          <w:rFonts w:ascii="Arial" w:hAnsi="Arial" w:cs="Arial"/>
          <w:sz w:val="20"/>
          <w:szCs w:val="20"/>
        </w:rPr>
        <w:t>.</w:t>
      </w:r>
      <w:r w:rsidR="004F5BF6" w:rsidRPr="005F1178">
        <w:rPr>
          <w:rFonts w:ascii="Arial" w:hAnsi="Arial" w:cs="Arial"/>
          <w:sz w:val="20"/>
          <w:szCs w:val="20"/>
        </w:rPr>
        <w:t xml:space="preserve"> </w:t>
      </w:r>
      <w:r w:rsidR="001155D0">
        <w:rPr>
          <w:rFonts w:ascii="Arial" w:hAnsi="Arial" w:cs="Arial"/>
          <w:sz w:val="20"/>
          <w:szCs w:val="20"/>
        </w:rPr>
        <w:t>К</w:t>
      </w:r>
      <w:r w:rsidR="004F5BF6" w:rsidRPr="005F1178">
        <w:rPr>
          <w:rFonts w:ascii="Arial" w:hAnsi="Arial" w:cs="Arial"/>
          <w:sz w:val="20"/>
          <w:szCs w:val="20"/>
        </w:rPr>
        <w:t xml:space="preserve">роме того, такие предложения </w:t>
      </w:r>
      <w:r w:rsidR="001155D0">
        <w:rPr>
          <w:rFonts w:ascii="Arial" w:hAnsi="Arial" w:cs="Arial"/>
          <w:sz w:val="20"/>
          <w:szCs w:val="20"/>
        </w:rPr>
        <w:t xml:space="preserve">– </w:t>
      </w:r>
      <w:r w:rsidR="004F5BF6" w:rsidRPr="005F1178">
        <w:rPr>
          <w:rFonts w:ascii="Arial" w:hAnsi="Arial" w:cs="Arial"/>
          <w:sz w:val="20"/>
          <w:szCs w:val="20"/>
        </w:rPr>
        <w:t>в основном это специальные предложения банков</w:t>
      </w:r>
      <w:r w:rsidR="001155D0">
        <w:rPr>
          <w:rFonts w:ascii="Arial" w:hAnsi="Arial" w:cs="Arial"/>
          <w:sz w:val="20"/>
          <w:szCs w:val="20"/>
        </w:rPr>
        <w:t>.</w:t>
      </w:r>
    </w:p>
    <w:p w:rsidR="004F5BF6" w:rsidRPr="005F1178" w:rsidRDefault="004F5BF6" w:rsidP="004F5BF6">
      <w:pPr>
        <w:ind w:firstLine="567"/>
        <w:jc w:val="both"/>
        <w:rPr>
          <w:rFonts w:ascii="Arial" w:hAnsi="Arial" w:cs="Arial"/>
          <w:sz w:val="20"/>
          <w:szCs w:val="20"/>
        </w:rPr>
      </w:pPr>
    </w:p>
    <w:p w:rsidR="004F5BF6" w:rsidRPr="005F1178" w:rsidRDefault="001155D0" w:rsidP="0080651F">
      <w:pPr>
        <w:spacing w:after="0"/>
        <w:ind w:left="1287"/>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 xml:space="preserve">Наблюдались ли в 2012 году значимые изменения в </w:t>
      </w:r>
      <w:proofErr w:type="gramStart"/>
      <w:r w:rsidR="004F5BF6" w:rsidRPr="005F1178">
        <w:rPr>
          <w:rFonts w:ascii="Arial" w:hAnsi="Arial" w:cs="Arial"/>
          <w:b/>
          <w:sz w:val="20"/>
          <w:szCs w:val="20"/>
        </w:rPr>
        <w:t>риск-менеджменте</w:t>
      </w:r>
      <w:proofErr w:type="gramEnd"/>
      <w:r w:rsidR="004F5BF6" w:rsidRPr="005F1178">
        <w:rPr>
          <w:rFonts w:ascii="Arial" w:hAnsi="Arial" w:cs="Arial"/>
          <w:b/>
          <w:sz w:val="20"/>
          <w:szCs w:val="20"/>
        </w:rPr>
        <w:t xml:space="preserve"> МСБ? Насколько активно банки используют </w:t>
      </w:r>
      <w:proofErr w:type="spellStart"/>
      <w:r w:rsidR="004F5BF6" w:rsidRPr="005F1178">
        <w:rPr>
          <w:rFonts w:ascii="Arial" w:hAnsi="Arial" w:cs="Arial"/>
          <w:b/>
          <w:sz w:val="20"/>
          <w:szCs w:val="20"/>
        </w:rPr>
        <w:t>скоринговые</w:t>
      </w:r>
      <w:proofErr w:type="spellEnd"/>
      <w:r w:rsidR="004F5BF6" w:rsidRPr="005F1178">
        <w:rPr>
          <w:rFonts w:ascii="Arial" w:hAnsi="Arial" w:cs="Arial"/>
          <w:b/>
          <w:sz w:val="20"/>
          <w:szCs w:val="20"/>
        </w:rPr>
        <w:t xml:space="preserve"> модели при кредитовании МСБ? Изменилась ли политика </w:t>
      </w:r>
      <w:r>
        <w:rPr>
          <w:rFonts w:ascii="Arial" w:hAnsi="Arial" w:cs="Arial"/>
          <w:b/>
          <w:sz w:val="20"/>
          <w:szCs w:val="20"/>
        </w:rPr>
        <w:t>в</w:t>
      </w:r>
      <w:r w:rsidR="004F5BF6" w:rsidRPr="005F1178">
        <w:rPr>
          <w:rFonts w:ascii="Arial" w:hAnsi="Arial" w:cs="Arial"/>
          <w:b/>
          <w:sz w:val="20"/>
          <w:szCs w:val="20"/>
        </w:rPr>
        <w:t xml:space="preserve">ашего </w:t>
      </w:r>
      <w:r>
        <w:rPr>
          <w:rFonts w:ascii="Arial" w:hAnsi="Arial" w:cs="Arial"/>
          <w:b/>
          <w:sz w:val="20"/>
          <w:szCs w:val="20"/>
        </w:rPr>
        <w:t>б</w:t>
      </w:r>
      <w:r w:rsidR="004F5BF6" w:rsidRPr="005F1178">
        <w:rPr>
          <w:rFonts w:ascii="Arial" w:hAnsi="Arial" w:cs="Arial"/>
          <w:b/>
          <w:sz w:val="20"/>
          <w:szCs w:val="20"/>
        </w:rPr>
        <w:t>анка в отношении обеспечения по кредитам?</w:t>
      </w:r>
    </w:p>
    <w:p w:rsidR="004F5BF6" w:rsidRPr="005F1178" w:rsidRDefault="001155D0"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 xml:space="preserve">Нужно подчеркнуть еще раз, что изменения рынка в этом вопросе очень существенны. </w:t>
      </w:r>
      <w:proofErr w:type="gramStart"/>
      <w:r w:rsidR="004F5BF6" w:rsidRPr="005F1178">
        <w:rPr>
          <w:rFonts w:ascii="Arial" w:hAnsi="Arial" w:cs="Arial"/>
          <w:sz w:val="20"/>
          <w:szCs w:val="20"/>
        </w:rPr>
        <w:t xml:space="preserve">Риск-менеджмент банков в направлении МСБ становится все более профессиональным, а модели оценки риска более совершенными – накапливаются статистические данные, которые позволяют </w:t>
      </w:r>
      <w:r w:rsidR="00205ED9">
        <w:rPr>
          <w:rFonts w:ascii="Arial" w:hAnsi="Arial" w:cs="Arial"/>
          <w:sz w:val="20"/>
          <w:szCs w:val="20"/>
        </w:rPr>
        <w:t xml:space="preserve">банкам </w:t>
      </w:r>
      <w:r w:rsidR="004F5BF6" w:rsidRPr="005F1178">
        <w:rPr>
          <w:rFonts w:ascii="Arial" w:hAnsi="Arial" w:cs="Arial"/>
          <w:sz w:val="20"/>
          <w:szCs w:val="20"/>
        </w:rPr>
        <w:t>развиваться и совершенствоваться в оценке риска и риск-технологиях.</w:t>
      </w:r>
      <w:proofErr w:type="gramEnd"/>
      <w:r w:rsidR="004F5BF6" w:rsidRPr="005F1178">
        <w:rPr>
          <w:rFonts w:ascii="Arial" w:hAnsi="Arial" w:cs="Arial"/>
          <w:sz w:val="20"/>
          <w:szCs w:val="20"/>
        </w:rPr>
        <w:t xml:space="preserve"> Кто-то в этом вопросе более активен, кто-то менее, но нет ни одного серьезного игрока, который бы не оценивал важность </w:t>
      </w:r>
      <w:proofErr w:type="gramStart"/>
      <w:r w:rsidR="004F5BF6" w:rsidRPr="005F1178">
        <w:rPr>
          <w:rFonts w:ascii="Arial" w:hAnsi="Arial" w:cs="Arial"/>
          <w:sz w:val="20"/>
          <w:szCs w:val="20"/>
        </w:rPr>
        <w:t>риск-менеджмента</w:t>
      </w:r>
      <w:proofErr w:type="gramEnd"/>
      <w:r w:rsidR="004F5BF6" w:rsidRPr="005F1178">
        <w:rPr>
          <w:rFonts w:ascii="Arial" w:hAnsi="Arial" w:cs="Arial"/>
          <w:sz w:val="20"/>
          <w:szCs w:val="20"/>
        </w:rPr>
        <w:t xml:space="preserve"> в сфере малого и среднего бизнеса.</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 xml:space="preserve">На текущий момент основная часть банков использует разработанные </w:t>
      </w:r>
      <w:r w:rsidRPr="005F1178">
        <w:rPr>
          <w:rFonts w:ascii="Arial" w:hAnsi="Arial" w:cs="Arial"/>
          <w:sz w:val="20"/>
          <w:szCs w:val="20"/>
          <w:lang w:val="en-US"/>
        </w:rPr>
        <w:t>in</w:t>
      </w:r>
      <w:r w:rsidRPr="005F1178">
        <w:rPr>
          <w:rFonts w:ascii="Arial" w:hAnsi="Arial" w:cs="Arial"/>
          <w:sz w:val="20"/>
          <w:szCs w:val="20"/>
        </w:rPr>
        <w:t xml:space="preserve"> </w:t>
      </w:r>
      <w:r w:rsidRPr="005F1178">
        <w:rPr>
          <w:rFonts w:ascii="Arial" w:hAnsi="Arial" w:cs="Arial"/>
          <w:sz w:val="20"/>
          <w:szCs w:val="20"/>
          <w:lang w:val="en-US"/>
        </w:rPr>
        <w:t>house</w:t>
      </w:r>
      <w:r w:rsidRPr="005F1178">
        <w:rPr>
          <w:rFonts w:ascii="Arial" w:hAnsi="Arial" w:cs="Arial"/>
          <w:sz w:val="20"/>
          <w:szCs w:val="20"/>
        </w:rPr>
        <w:t xml:space="preserve"> или приобретенные системы оценки риска. Тенденция перехода от персонального мнения конкретного риск-менеджера к управлению моделью оценки риска по сегменту и по клиенту является трендом на российском рынке в последние несколько лет. Успешность каждой модели можно будет оценить в среднесрочной перспективе, так как большинство разработок достаточно свежие и еще не прошли жизненный цикл. Однако важно то, что уровень управляемости риска по кредитным портфелям МСБ клиентов и, как следствие, контроль риска банками увеличивается в целом по рынку. Здесь российские банки не изобретают ничего нового, мы движемся в тренде мирового банковского опыта. БИНБАНК не является исключением: мы используем, с одной стороны, более чем 16-летний опыт, который имеют специалисты банка в работе с малым бизнесом в России, с другой стороны, активно используем опыт мировых лидеров, компаний</w:t>
      </w:r>
      <w:r w:rsidR="00205ED9">
        <w:rPr>
          <w:rFonts w:ascii="Arial" w:hAnsi="Arial" w:cs="Arial"/>
          <w:sz w:val="20"/>
          <w:szCs w:val="20"/>
        </w:rPr>
        <w:t>,</w:t>
      </w:r>
      <w:r w:rsidRPr="005F1178">
        <w:rPr>
          <w:rFonts w:ascii="Arial" w:hAnsi="Arial" w:cs="Arial"/>
          <w:sz w:val="20"/>
          <w:szCs w:val="20"/>
        </w:rPr>
        <w:t xml:space="preserve"> специализирующихся на разработке и управлении </w:t>
      </w:r>
      <w:proofErr w:type="gramStart"/>
      <w:r w:rsidRPr="005F1178">
        <w:rPr>
          <w:rFonts w:ascii="Arial" w:hAnsi="Arial" w:cs="Arial"/>
          <w:sz w:val="20"/>
          <w:szCs w:val="20"/>
        </w:rPr>
        <w:t>риск</w:t>
      </w:r>
      <w:r w:rsidR="00205ED9">
        <w:rPr>
          <w:rFonts w:ascii="Arial" w:hAnsi="Arial" w:cs="Arial"/>
          <w:sz w:val="20"/>
          <w:szCs w:val="20"/>
        </w:rPr>
        <w:t>-</w:t>
      </w:r>
      <w:r w:rsidRPr="005F1178">
        <w:rPr>
          <w:rFonts w:ascii="Arial" w:hAnsi="Arial" w:cs="Arial"/>
          <w:sz w:val="20"/>
          <w:szCs w:val="20"/>
        </w:rPr>
        <w:t>моделями</w:t>
      </w:r>
      <w:proofErr w:type="gramEnd"/>
      <w:r w:rsidRPr="005F1178">
        <w:rPr>
          <w:rFonts w:ascii="Arial" w:hAnsi="Arial" w:cs="Arial"/>
          <w:sz w:val="20"/>
          <w:szCs w:val="20"/>
        </w:rPr>
        <w:t xml:space="preserve"> и технологиями. Такая синергия позволяет нам развиваться даже чуть быстрее рынка в наращивании компетенции в области </w:t>
      </w:r>
      <w:proofErr w:type="gramStart"/>
      <w:r w:rsidRPr="005F1178">
        <w:rPr>
          <w:rFonts w:ascii="Arial" w:hAnsi="Arial" w:cs="Arial"/>
          <w:sz w:val="20"/>
          <w:szCs w:val="20"/>
        </w:rPr>
        <w:t>риск-менеджмента</w:t>
      </w:r>
      <w:proofErr w:type="gramEnd"/>
      <w:r w:rsidRPr="005F1178">
        <w:rPr>
          <w:rFonts w:ascii="Arial" w:hAnsi="Arial" w:cs="Arial"/>
          <w:sz w:val="20"/>
          <w:szCs w:val="20"/>
        </w:rPr>
        <w:t>. Мы используем структурированный кредитный процесс, которым мы управляем на всех этапах</w:t>
      </w:r>
      <w:r w:rsidR="00E22968">
        <w:rPr>
          <w:rFonts w:ascii="Arial" w:hAnsi="Arial" w:cs="Arial"/>
          <w:sz w:val="20"/>
          <w:szCs w:val="20"/>
        </w:rPr>
        <w:t>,</w:t>
      </w:r>
      <w:r w:rsidRPr="005F1178">
        <w:rPr>
          <w:rFonts w:ascii="Arial" w:hAnsi="Arial" w:cs="Arial"/>
          <w:sz w:val="20"/>
          <w:szCs w:val="20"/>
        </w:rPr>
        <w:t xml:space="preserve"> необходимых для полноценного контроля риска. При этом такое же внимание мы уделяем стоимости нашего кредитного процесса и можем управлять и эт</w:t>
      </w:r>
      <w:r w:rsidR="00E22968">
        <w:rPr>
          <w:rFonts w:ascii="Arial" w:hAnsi="Arial" w:cs="Arial"/>
          <w:sz w:val="20"/>
          <w:szCs w:val="20"/>
        </w:rPr>
        <w:t>им</w:t>
      </w:r>
      <w:r w:rsidRPr="005F1178">
        <w:rPr>
          <w:rFonts w:ascii="Arial" w:hAnsi="Arial" w:cs="Arial"/>
          <w:sz w:val="20"/>
          <w:szCs w:val="20"/>
        </w:rPr>
        <w:t xml:space="preserve"> компоненто</w:t>
      </w:r>
      <w:r w:rsidR="00E22968">
        <w:rPr>
          <w:rFonts w:ascii="Arial" w:hAnsi="Arial" w:cs="Arial"/>
          <w:sz w:val="20"/>
          <w:szCs w:val="20"/>
        </w:rPr>
        <w:t>м</w:t>
      </w:r>
      <w:r w:rsidRPr="005F1178">
        <w:rPr>
          <w:rFonts w:ascii="Arial" w:hAnsi="Arial" w:cs="Arial"/>
          <w:sz w:val="20"/>
          <w:szCs w:val="20"/>
        </w:rPr>
        <w:t>. В 2013 году БИНБАНК закончит проект по автоматизации кредитного процесса для кредитов</w:t>
      </w:r>
      <w:r w:rsidR="00E22968">
        <w:rPr>
          <w:rFonts w:ascii="Arial" w:hAnsi="Arial" w:cs="Arial"/>
          <w:sz w:val="20"/>
          <w:szCs w:val="20"/>
        </w:rPr>
        <w:t>,</w:t>
      </w:r>
      <w:r w:rsidRPr="005F1178">
        <w:rPr>
          <w:rFonts w:ascii="Arial" w:hAnsi="Arial" w:cs="Arial"/>
          <w:sz w:val="20"/>
          <w:szCs w:val="20"/>
        </w:rPr>
        <w:t xml:space="preserve"> предоставляемых МСБ-сегменту, что позволит нам сократить около 40% издержек на процесс выдачи кредита и его сопровождения. Мы будем более рентабельны и </w:t>
      </w:r>
      <w:r w:rsidR="00E22968">
        <w:rPr>
          <w:rFonts w:ascii="Arial" w:hAnsi="Arial" w:cs="Arial"/>
          <w:sz w:val="20"/>
          <w:szCs w:val="20"/>
        </w:rPr>
        <w:t xml:space="preserve">потому </w:t>
      </w:r>
      <w:r w:rsidRPr="005F1178">
        <w:rPr>
          <w:rFonts w:ascii="Arial" w:hAnsi="Arial" w:cs="Arial"/>
          <w:sz w:val="20"/>
          <w:szCs w:val="20"/>
        </w:rPr>
        <w:t>более конкурентоспособны.</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 xml:space="preserve">Что касается требований </w:t>
      </w:r>
      <w:r w:rsidR="00E22968">
        <w:rPr>
          <w:rFonts w:ascii="Arial" w:hAnsi="Arial" w:cs="Arial"/>
          <w:sz w:val="20"/>
          <w:szCs w:val="20"/>
        </w:rPr>
        <w:t>б</w:t>
      </w:r>
      <w:r w:rsidRPr="005F1178">
        <w:rPr>
          <w:rFonts w:ascii="Arial" w:hAnsi="Arial" w:cs="Arial"/>
          <w:sz w:val="20"/>
          <w:szCs w:val="20"/>
        </w:rPr>
        <w:t>анка к залоговому обеспечению, то здесь мы учитываем специфику сегмента, клиенты которого зачастую не имеют качественного залога (по сравнению с крупными корпоративными клиентами). Первоочередным для нас явля</w:t>
      </w:r>
      <w:r w:rsidR="00E22968">
        <w:rPr>
          <w:rFonts w:ascii="Arial" w:hAnsi="Arial" w:cs="Arial"/>
          <w:sz w:val="20"/>
          <w:szCs w:val="20"/>
        </w:rPr>
        <w:t>ю</w:t>
      </w:r>
      <w:r w:rsidRPr="005F1178">
        <w:rPr>
          <w:rFonts w:ascii="Arial" w:hAnsi="Arial" w:cs="Arial"/>
          <w:sz w:val="20"/>
          <w:szCs w:val="20"/>
        </w:rPr>
        <w:t xml:space="preserve">тся бизнес клиента и его </w:t>
      </w:r>
      <w:r w:rsidRPr="005F1178">
        <w:rPr>
          <w:rFonts w:ascii="Arial" w:hAnsi="Arial" w:cs="Arial"/>
          <w:sz w:val="20"/>
          <w:szCs w:val="20"/>
        </w:rPr>
        <w:lastRenderedPageBreak/>
        <w:t xml:space="preserve">результаты, а также успешность и личные качества самого предпринимателя </w:t>
      </w:r>
      <w:r w:rsidR="00E22968">
        <w:rPr>
          <w:rFonts w:ascii="Arial" w:hAnsi="Arial" w:cs="Arial"/>
          <w:sz w:val="20"/>
          <w:szCs w:val="20"/>
        </w:rPr>
        <w:t>–</w:t>
      </w:r>
      <w:r w:rsidRPr="005F1178">
        <w:rPr>
          <w:rFonts w:ascii="Arial" w:hAnsi="Arial" w:cs="Arial"/>
          <w:sz w:val="20"/>
          <w:szCs w:val="20"/>
        </w:rPr>
        <w:t xml:space="preserve"> владельца бизнеса. Мы принимаем в залог все основные виды залогового обеспечения, но это не первостепенный фактор для банка. </w:t>
      </w:r>
      <w:proofErr w:type="gramStart"/>
      <w:r w:rsidRPr="005F1178">
        <w:rPr>
          <w:rFonts w:ascii="Arial" w:hAnsi="Arial" w:cs="Arial"/>
          <w:sz w:val="20"/>
          <w:szCs w:val="20"/>
        </w:rPr>
        <w:t>Здесь мы придерживаемся подхода, который использовался в базовой технологии ЕБРР: возможность платить по кредиту, которую может гарантировать бизнес клиента, и желание клиента добросовестно сотрудничать с банком и платить по кредиту – два самых важных фактора, которые обеспечивают возврат по кредиту.</w:t>
      </w:r>
      <w:proofErr w:type="gramEnd"/>
    </w:p>
    <w:p w:rsidR="004F5BF6" w:rsidRPr="005F1178" w:rsidRDefault="004F5BF6" w:rsidP="004F5BF6">
      <w:pPr>
        <w:ind w:firstLine="567"/>
        <w:jc w:val="both"/>
        <w:rPr>
          <w:rFonts w:ascii="Arial" w:hAnsi="Arial" w:cs="Arial"/>
          <w:sz w:val="20"/>
          <w:szCs w:val="20"/>
        </w:rPr>
      </w:pPr>
    </w:p>
    <w:p w:rsidR="004F5BF6" w:rsidRPr="005F1178" w:rsidRDefault="00E22968" w:rsidP="0080651F">
      <w:pPr>
        <w:spacing w:after="0"/>
        <w:ind w:left="1287"/>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Дайте свой прогноз по темпам роста кредитного портфеля МСБ по банковской системе до конца 2013 года и в 2014 году. Выделите ключевые драйверы и ограничители роста.</w:t>
      </w:r>
    </w:p>
    <w:p w:rsidR="004F5BF6" w:rsidRPr="005F1178" w:rsidRDefault="00AB2A5E" w:rsidP="0080651F">
      <w:pPr>
        <w:jc w:val="both"/>
        <w:rPr>
          <w:rFonts w:ascii="Arial" w:hAnsi="Arial" w:cs="Arial"/>
          <w:sz w:val="20"/>
          <w:szCs w:val="20"/>
        </w:rPr>
      </w:pPr>
      <w:r>
        <w:rPr>
          <w:rFonts w:ascii="Arial" w:hAnsi="Arial" w:cs="Arial"/>
          <w:sz w:val="20"/>
          <w:szCs w:val="20"/>
        </w:rPr>
        <w:t xml:space="preserve">– </w:t>
      </w:r>
      <w:r w:rsidR="004F5BF6" w:rsidRPr="005F1178">
        <w:rPr>
          <w:rFonts w:ascii="Arial" w:hAnsi="Arial" w:cs="Arial"/>
          <w:sz w:val="20"/>
          <w:szCs w:val="20"/>
        </w:rPr>
        <w:t>Безусловно, основным ключевым драйвером роста остается спрос со стороны предпринимателей на кредитные средства, который напрямую зависит от показателей экономического развития страны. Думаю, не следует ждать очень большого роста кредитного портфеля по сегменту МСБ как в 2013 году, так и в 2014</w:t>
      </w:r>
      <w:r>
        <w:rPr>
          <w:rFonts w:ascii="Arial" w:hAnsi="Arial" w:cs="Arial"/>
          <w:sz w:val="20"/>
          <w:szCs w:val="20"/>
        </w:rPr>
        <w:t>-м</w:t>
      </w:r>
      <w:r w:rsidR="004F5BF6" w:rsidRPr="005F1178">
        <w:rPr>
          <w:rFonts w:ascii="Arial" w:hAnsi="Arial" w:cs="Arial"/>
          <w:sz w:val="20"/>
          <w:szCs w:val="20"/>
        </w:rPr>
        <w:t xml:space="preserve">, однако рост в 15-20% будет обеспечен. Не исключено также, что в случае пессимистичного сценария развития ситуации в экономике страны портфель кредитов SME будет снижаться. </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Другим важнейшим фактором, влияющим на развитие кредитных портфелей, выданных банками МСБ</w:t>
      </w:r>
      <w:r w:rsidR="00AB2A5E">
        <w:rPr>
          <w:rFonts w:ascii="Arial" w:hAnsi="Arial" w:cs="Arial"/>
          <w:sz w:val="20"/>
          <w:szCs w:val="20"/>
        </w:rPr>
        <w:t>-</w:t>
      </w:r>
      <w:r w:rsidRPr="005F1178">
        <w:rPr>
          <w:rFonts w:ascii="Arial" w:hAnsi="Arial" w:cs="Arial"/>
          <w:sz w:val="20"/>
          <w:szCs w:val="20"/>
        </w:rPr>
        <w:t xml:space="preserve">клиентам, могут стать нормативные акты регулятора – Центрального Банка РФ. </w:t>
      </w:r>
    </w:p>
    <w:p w:rsidR="004F5BF6" w:rsidRPr="005F1178" w:rsidRDefault="004F5BF6" w:rsidP="004F5BF6">
      <w:pPr>
        <w:ind w:firstLine="567"/>
        <w:jc w:val="both"/>
        <w:rPr>
          <w:rFonts w:ascii="Arial" w:hAnsi="Arial" w:cs="Arial"/>
          <w:sz w:val="20"/>
          <w:szCs w:val="20"/>
        </w:rPr>
      </w:pPr>
      <w:r w:rsidRPr="005F1178">
        <w:rPr>
          <w:rFonts w:ascii="Arial" w:hAnsi="Arial" w:cs="Arial"/>
          <w:sz w:val="20"/>
          <w:szCs w:val="20"/>
        </w:rPr>
        <w:t xml:space="preserve">Большинство банков в стратегии развития видят для себя сегмент малого и среднего бизнеса как приоритетный, строят значительные планы по развитию, в том числе с точки зрения кредитования этого сегмента. Цели </w:t>
      </w:r>
      <w:proofErr w:type="spellStart"/>
      <w:r w:rsidRPr="005F1178">
        <w:rPr>
          <w:rFonts w:ascii="Arial" w:hAnsi="Arial" w:cs="Arial"/>
          <w:sz w:val="20"/>
          <w:szCs w:val="20"/>
        </w:rPr>
        <w:t>БИНБАНКа</w:t>
      </w:r>
      <w:proofErr w:type="spellEnd"/>
      <w:r w:rsidRPr="005F1178">
        <w:rPr>
          <w:rFonts w:ascii="Arial" w:hAnsi="Arial" w:cs="Arial"/>
          <w:sz w:val="20"/>
          <w:szCs w:val="20"/>
        </w:rPr>
        <w:t xml:space="preserve"> по сотрудничеству с клиентами малого и среднего бизнеса также достаточно </w:t>
      </w:r>
      <w:proofErr w:type="gramStart"/>
      <w:r w:rsidRPr="005F1178">
        <w:rPr>
          <w:rFonts w:ascii="Arial" w:hAnsi="Arial" w:cs="Arial"/>
          <w:sz w:val="20"/>
          <w:szCs w:val="20"/>
        </w:rPr>
        <w:t>амбициозны</w:t>
      </w:r>
      <w:proofErr w:type="gramEnd"/>
      <w:r w:rsidRPr="005F1178">
        <w:rPr>
          <w:rFonts w:ascii="Arial" w:hAnsi="Arial" w:cs="Arial"/>
          <w:sz w:val="20"/>
          <w:szCs w:val="20"/>
        </w:rPr>
        <w:t>, наша задача – к концу года показать рост</w:t>
      </w:r>
      <w:r w:rsidR="00AB2A5E">
        <w:rPr>
          <w:rFonts w:ascii="Arial" w:hAnsi="Arial" w:cs="Arial"/>
          <w:sz w:val="20"/>
          <w:szCs w:val="20"/>
        </w:rPr>
        <w:t>,</w:t>
      </w:r>
      <w:r w:rsidRPr="005F1178">
        <w:rPr>
          <w:rFonts w:ascii="Arial" w:hAnsi="Arial" w:cs="Arial"/>
          <w:sz w:val="20"/>
          <w:szCs w:val="20"/>
        </w:rPr>
        <w:t xml:space="preserve"> превышающий темпы роста рынка в целом.  </w:t>
      </w:r>
    </w:p>
    <w:p w:rsidR="004F5BF6" w:rsidRPr="005F1178" w:rsidRDefault="004F5BF6" w:rsidP="004F5BF6">
      <w:pPr>
        <w:jc w:val="both"/>
        <w:rPr>
          <w:rFonts w:ascii="Times New Roman" w:hAnsi="Times New Roman" w:cs="Times New Roman"/>
          <w:b/>
          <w:sz w:val="24"/>
          <w:szCs w:val="24"/>
        </w:rPr>
      </w:pPr>
      <w:r w:rsidRPr="005F1178">
        <w:rPr>
          <w:rFonts w:ascii="Times New Roman" w:hAnsi="Times New Roman" w:cs="Times New Roman"/>
          <w:b/>
          <w:sz w:val="24"/>
          <w:szCs w:val="24"/>
        </w:rPr>
        <w:t xml:space="preserve">Интервью с </w:t>
      </w:r>
      <w:proofErr w:type="spellStart"/>
      <w:r w:rsidRPr="005F1178">
        <w:rPr>
          <w:rFonts w:ascii="Times New Roman" w:hAnsi="Times New Roman" w:cs="Times New Roman"/>
          <w:b/>
          <w:sz w:val="24"/>
          <w:szCs w:val="24"/>
        </w:rPr>
        <w:t>Надией</w:t>
      </w:r>
      <w:proofErr w:type="spellEnd"/>
      <w:r w:rsidRPr="005F1178">
        <w:rPr>
          <w:rFonts w:ascii="Times New Roman" w:hAnsi="Times New Roman" w:cs="Times New Roman"/>
          <w:b/>
          <w:sz w:val="24"/>
          <w:szCs w:val="24"/>
        </w:rPr>
        <w:t xml:space="preserve"> Черкасовой, членом </w:t>
      </w:r>
      <w:r w:rsidR="00AB2A5E">
        <w:rPr>
          <w:rFonts w:ascii="Times New Roman" w:hAnsi="Times New Roman" w:cs="Times New Roman"/>
          <w:b/>
          <w:sz w:val="24"/>
          <w:szCs w:val="24"/>
        </w:rPr>
        <w:t>с</w:t>
      </w:r>
      <w:r w:rsidRPr="005F1178">
        <w:rPr>
          <w:rFonts w:ascii="Times New Roman" w:hAnsi="Times New Roman" w:cs="Times New Roman"/>
          <w:b/>
          <w:sz w:val="24"/>
          <w:szCs w:val="24"/>
        </w:rPr>
        <w:t xml:space="preserve">овета директоров,  </w:t>
      </w:r>
      <w:r w:rsidRPr="005F1178">
        <w:rPr>
          <w:rFonts w:ascii="Times New Roman" w:hAnsi="Times New Roman" w:cs="Times New Roman"/>
          <w:b/>
          <w:sz w:val="24"/>
          <w:szCs w:val="24"/>
        </w:rPr>
        <w:br/>
        <w:t>управляющи</w:t>
      </w:r>
      <w:r w:rsidR="00AB2A5E">
        <w:rPr>
          <w:rFonts w:ascii="Times New Roman" w:hAnsi="Times New Roman" w:cs="Times New Roman"/>
          <w:b/>
          <w:sz w:val="24"/>
          <w:szCs w:val="24"/>
        </w:rPr>
        <w:t>м</w:t>
      </w:r>
      <w:r w:rsidRPr="005F1178">
        <w:rPr>
          <w:rFonts w:ascii="Times New Roman" w:hAnsi="Times New Roman" w:cs="Times New Roman"/>
          <w:b/>
          <w:sz w:val="24"/>
          <w:szCs w:val="24"/>
        </w:rPr>
        <w:t xml:space="preserve"> директор</w:t>
      </w:r>
      <w:r w:rsidR="00AB2A5E">
        <w:rPr>
          <w:rFonts w:ascii="Times New Roman" w:hAnsi="Times New Roman" w:cs="Times New Roman"/>
          <w:b/>
          <w:sz w:val="24"/>
          <w:szCs w:val="24"/>
        </w:rPr>
        <w:t>ом</w:t>
      </w:r>
      <w:r w:rsidRPr="005F1178">
        <w:rPr>
          <w:rFonts w:ascii="Times New Roman" w:hAnsi="Times New Roman" w:cs="Times New Roman"/>
          <w:b/>
          <w:sz w:val="24"/>
          <w:szCs w:val="24"/>
        </w:rPr>
        <w:t xml:space="preserve"> банка «ТРАСТ»</w:t>
      </w:r>
    </w:p>
    <w:p w:rsidR="004F5BF6" w:rsidRPr="005F1178" w:rsidRDefault="00AB2A5E" w:rsidP="0080651F">
      <w:pPr>
        <w:pStyle w:val="ae"/>
        <w:spacing w:before="100" w:beforeAutospacing="1" w:after="100" w:afterAutospacing="1" w:line="240" w:lineRule="auto"/>
        <w:ind w:left="924"/>
        <w:jc w:val="both"/>
        <w:rPr>
          <w:rFonts w:ascii="Times New Roman" w:hAnsi="Times New Roman"/>
          <w:b/>
          <w:sz w:val="24"/>
          <w:szCs w:val="24"/>
        </w:rPr>
      </w:pPr>
      <w:r>
        <w:rPr>
          <w:rFonts w:ascii="Times New Roman" w:hAnsi="Times New Roman"/>
          <w:b/>
          <w:sz w:val="24"/>
          <w:szCs w:val="24"/>
        </w:rPr>
        <w:t xml:space="preserve">– </w:t>
      </w:r>
      <w:r w:rsidR="004F5BF6" w:rsidRPr="005F1178">
        <w:rPr>
          <w:rFonts w:ascii="Times New Roman" w:hAnsi="Times New Roman"/>
          <w:b/>
          <w:sz w:val="24"/>
          <w:szCs w:val="24"/>
        </w:rPr>
        <w:t xml:space="preserve">Какие ключевые изменения произошли на рынке кредитования МСБ во втором полугодии 2012 года по сравнению с первым? </w:t>
      </w:r>
    </w:p>
    <w:p w:rsidR="004F5BF6" w:rsidRPr="005F1178" w:rsidRDefault="00AB2A5E" w:rsidP="004F5BF6">
      <w:pPr>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Во втором полугодии 2012 года рынок не демонстрировал существенных изменений. Основные игроки, оказывающие влияние на рынок кредитования малого и среднего бизнеса, планомерно развивали кредитные продукты с акцентом на микрофинансировании. </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 xml:space="preserve">Основной тренд в сегменте МСБ – совмещение кредитного процесса со </w:t>
      </w:r>
      <w:proofErr w:type="gramStart"/>
      <w:r w:rsidRPr="005F1178">
        <w:rPr>
          <w:rFonts w:ascii="Times New Roman" w:hAnsi="Times New Roman"/>
          <w:i/>
          <w:sz w:val="24"/>
          <w:szCs w:val="24"/>
        </w:rPr>
        <w:t>стандартным</w:t>
      </w:r>
      <w:proofErr w:type="gramEnd"/>
      <w:r w:rsidRPr="005F1178">
        <w:rPr>
          <w:rFonts w:ascii="Times New Roman" w:hAnsi="Times New Roman"/>
          <w:i/>
          <w:sz w:val="24"/>
          <w:szCs w:val="24"/>
        </w:rPr>
        <w:t xml:space="preserve"> банковским ритейлом и использование розничных технологий принятия решений (</w:t>
      </w:r>
      <w:proofErr w:type="spellStart"/>
      <w:r w:rsidRPr="005F1178">
        <w:rPr>
          <w:rFonts w:ascii="Times New Roman" w:hAnsi="Times New Roman"/>
          <w:i/>
          <w:sz w:val="24"/>
          <w:szCs w:val="24"/>
        </w:rPr>
        <w:t>скоринговые</w:t>
      </w:r>
      <w:proofErr w:type="spellEnd"/>
      <w:r w:rsidRPr="005F1178">
        <w:rPr>
          <w:rFonts w:ascii="Times New Roman" w:hAnsi="Times New Roman"/>
          <w:i/>
          <w:sz w:val="24"/>
          <w:szCs w:val="24"/>
        </w:rPr>
        <w:t xml:space="preserve"> карты). Внедрение данных инструментов позволяет оптимизировать расходы и одновременно повышает доступность кредитов для предпринимателей</w:t>
      </w:r>
      <w:r w:rsidR="00AB2A5E">
        <w:rPr>
          <w:rFonts w:ascii="Times New Roman" w:hAnsi="Times New Roman"/>
          <w:i/>
          <w:sz w:val="24"/>
          <w:szCs w:val="24"/>
        </w:rPr>
        <w:t>.</w:t>
      </w:r>
      <w:r w:rsidRPr="005F1178">
        <w:rPr>
          <w:rFonts w:ascii="Times New Roman" w:hAnsi="Times New Roman"/>
          <w:i/>
          <w:sz w:val="24"/>
          <w:szCs w:val="24"/>
        </w:rPr>
        <w:t xml:space="preserve"> </w:t>
      </w:r>
      <w:r w:rsidR="00AB2A5E">
        <w:rPr>
          <w:rFonts w:ascii="Times New Roman" w:hAnsi="Times New Roman"/>
          <w:i/>
          <w:sz w:val="24"/>
          <w:szCs w:val="24"/>
        </w:rPr>
        <w:t>В</w:t>
      </w:r>
      <w:r w:rsidRPr="005F1178">
        <w:rPr>
          <w:rFonts w:ascii="Times New Roman" w:hAnsi="Times New Roman"/>
          <w:i/>
          <w:sz w:val="24"/>
          <w:szCs w:val="24"/>
        </w:rPr>
        <w:t xml:space="preserve"> настоящее время </w:t>
      </w:r>
      <w:proofErr w:type="spellStart"/>
      <w:r w:rsidRPr="005F1178">
        <w:rPr>
          <w:rFonts w:ascii="Times New Roman" w:hAnsi="Times New Roman"/>
          <w:i/>
          <w:sz w:val="24"/>
          <w:szCs w:val="24"/>
        </w:rPr>
        <w:t>микрокредит</w:t>
      </w:r>
      <w:proofErr w:type="spellEnd"/>
      <w:r w:rsidRPr="005F1178">
        <w:rPr>
          <w:rFonts w:ascii="Times New Roman" w:hAnsi="Times New Roman"/>
          <w:i/>
          <w:sz w:val="24"/>
          <w:szCs w:val="24"/>
        </w:rPr>
        <w:t xml:space="preserve"> можно оформить так же просто и быстро, как и стандартный потребительский заем. Банк «ТРАСТ» уже второй год работает с предпринимателями по </w:t>
      </w:r>
      <w:proofErr w:type="spellStart"/>
      <w:r w:rsidRPr="005F1178">
        <w:rPr>
          <w:rFonts w:ascii="Times New Roman" w:hAnsi="Times New Roman"/>
          <w:i/>
          <w:sz w:val="24"/>
          <w:szCs w:val="24"/>
        </w:rPr>
        <w:t>скоринг</w:t>
      </w:r>
      <w:proofErr w:type="spellEnd"/>
      <w:r w:rsidRPr="005F1178">
        <w:rPr>
          <w:rFonts w:ascii="Times New Roman" w:hAnsi="Times New Roman"/>
          <w:i/>
          <w:sz w:val="24"/>
          <w:szCs w:val="24"/>
        </w:rPr>
        <w:t>-моделям.</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Дополнительный драйвер развития рынка кредитования МСБ – появление нового поколения предпринимателей (поколение «</w:t>
      </w:r>
      <w:r w:rsidRPr="005F1178">
        <w:rPr>
          <w:rFonts w:ascii="Times New Roman" w:hAnsi="Times New Roman"/>
          <w:i/>
          <w:sz w:val="24"/>
          <w:szCs w:val="24"/>
          <w:lang w:val="en-US"/>
        </w:rPr>
        <w:t>Y</w:t>
      </w:r>
      <w:r w:rsidRPr="005F1178">
        <w:rPr>
          <w:rFonts w:ascii="Times New Roman" w:hAnsi="Times New Roman"/>
          <w:i/>
          <w:sz w:val="24"/>
          <w:szCs w:val="24"/>
        </w:rPr>
        <w:t xml:space="preserve">») </w:t>
      </w:r>
      <w:r w:rsidR="00E22CB3">
        <w:rPr>
          <w:rFonts w:ascii="Times New Roman" w:hAnsi="Times New Roman"/>
          <w:i/>
          <w:sz w:val="24"/>
          <w:szCs w:val="24"/>
        </w:rPr>
        <w:t>–</w:t>
      </w:r>
      <w:r w:rsidRPr="005F1178">
        <w:rPr>
          <w:rFonts w:ascii="Times New Roman" w:hAnsi="Times New Roman"/>
          <w:i/>
          <w:sz w:val="24"/>
          <w:szCs w:val="24"/>
        </w:rPr>
        <w:t xml:space="preserve"> активных пользователей мобильных технологий. Поведенческая модель нового типа клиентов выдвигает принципиально новые требования к кредитным продуктам. </w:t>
      </w:r>
      <w:proofErr w:type="gramStart"/>
      <w:r w:rsidRPr="005F1178">
        <w:rPr>
          <w:rFonts w:ascii="Times New Roman" w:hAnsi="Times New Roman"/>
          <w:i/>
          <w:sz w:val="24"/>
          <w:szCs w:val="24"/>
        </w:rPr>
        <w:t>Появляется понятие «виртуальный МСБ», потребности которого и будут формировать рынок кредитования малого и среднего бизнеса в ближайшие 3-5 лет.</w:t>
      </w:r>
      <w:proofErr w:type="gramEnd"/>
    </w:p>
    <w:p w:rsidR="004F5BF6" w:rsidRPr="005F1178" w:rsidRDefault="00E22CB3" w:rsidP="004F5BF6">
      <w:pPr>
        <w:pStyle w:val="ae"/>
        <w:numPr>
          <w:ilvl w:val="0"/>
          <w:numId w:val="9"/>
        </w:num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4F5BF6" w:rsidRPr="005F1178">
        <w:rPr>
          <w:rFonts w:ascii="Times New Roman" w:hAnsi="Times New Roman"/>
          <w:b/>
          <w:sz w:val="24"/>
          <w:szCs w:val="24"/>
        </w:rPr>
        <w:t xml:space="preserve">Как бы </w:t>
      </w:r>
      <w:r>
        <w:rPr>
          <w:rFonts w:ascii="Times New Roman" w:hAnsi="Times New Roman"/>
          <w:b/>
          <w:sz w:val="24"/>
          <w:szCs w:val="24"/>
        </w:rPr>
        <w:t>в</w:t>
      </w:r>
      <w:r w:rsidR="004F5BF6" w:rsidRPr="005F1178">
        <w:rPr>
          <w:rFonts w:ascii="Times New Roman" w:hAnsi="Times New Roman"/>
          <w:b/>
          <w:sz w:val="24"/>
          <w:szCs w:val="24"/>
        </w:rPr>
        <w:t xml:space="preserve">ы оценили динамику спроса на кредитные продукты со стороны МСБ во втором полугодии 2012 года по сравнению с первым? </w:t>
      </w:r>
    </w:p>
    <w:p w:rsidR="004F5BF6" w:rsidRPr="005F1178" w:rsidRDefault="00E22CB3" w:rsidP="004F5BF6">
      <w:pPr>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В целом спрос стабилен. Как правило, во втором полугодии наблюдается сезонный рост на уровне 10-15%. При этом более значительна динамика в сегменте микрофинансирования, который характеризуется существенным увеличением количества новых зарегистрированных МФО (практически в 2 раза по итогам 2012 года) и ростом кредитного портфеля (с 30 </w:t>
      </w:r>
      <w:proofErr w:type="gramStart"/>
      <w:r w:rsidR="004F5BF6" w:rsidRPr="005F1178">
        <w:rPr>
          <w:rFonts w:ascii="Times New Roman" w:hAnsi="Times New Roman"/>
          <w:i/>
          <w:sz w:val="24"/>
          <w:szCs w:val="24"/>
        </w:rPr>
        <w:t>млрд</w:t>
      </w:r>
      <w:proofErr w:type="gramEnd"/>
      <w:r w:rsidR="004F5BF6" w:rsidRPr="005F1178">
        <w:rPr>
          <w:rFonts w:ascii="Times New Roman" w:hAnsi="Times New Roman"/>
          <w:i/>
          <w:sz w:val="24"/>
          <w:szCs w:val="24"/>
        </w:rPr>
        <w:t xml:space="preserve"> рублей до 45 млрд рублей). На фоне роста небанковских </w:t>
      </w:r>
      <w:proofErr w:type="spellStart"/>
      <w:r w:rsidR="004F5BF6" w:rsidRPr="005F1178">
        <w:rPr>
          <w:rFonts w:ascii="Times New Roman" w:hAnsi="Times New Roman"/>
          <w:i/>
          <w:sz w:val="24"/>
          <w:szCs w:val="24"/>
        </w:rPr>
        <w:t>микрофинансовых</w:t>
      </w:r>
      <w:proofErr w:type="spellEnd"/>
      <w:r w:rsidR="004F5BF6" w:rsidRPr="005F1178">
        <w:rPr>
          <w:rFonts w:ascii="Times New Roman" w:hAnsi="Times New Roman"/>
          <w:i/>
          <w:sz w:val="24"/>
          <w:szCs w:val="24"/>
        </w:rPr>
        <w:t xml:space="preserve"> организаций продолжается развитие программ МСБ банковского сектора. Так, в 2012 году банк «ТРАСТ» выдал более 25 </w:t>
      </w:r>
      <w:proofErr w:type="spellStart"/>
      <w:proofErr w:type="gramStart"/>
      <w:r w:rsidR="004F5BF6" w:rsidRPr="005F1178">
        <w:rPr>
          <w:rFonts w:ascii="Times New Roman" w:hAnsi="Times New Roman"/>
          <w:i/>
          <w:sz w:val="24"/>
          <w:szCs w:val="24"/>
        </w:rPr>
        <w:t>тыс</w:t>
      </w:r>
      <w:proofErr w:type="spellEnd"/>
      <w:proofErr w:type="gramEnd"/>
      <w:r w:rsidR="004F5BF6" w:rsidRPr="005F1178">
        <w:rPr>
          <w:rFonts w:ascii="Times New Roman" w:hAnsi="Times New Roman"/>
          <w:i/>
          <w:sz w:val="24"/>
          <w:szCs w:val="24"/>
        </w:rPr>
        <w:t xml:space="preserve"> </w:t>
      </w:r>
      <w:proofErr w:type="spellStart"/>
      <w:r w:rsidR="004F5BF6" w:rsidRPr="005F1178">
        <w:rPr>
          <w:rFonts w:ascii="Times New Roman" w:hAnsi="Times New Roman"/>
          <w:i/>
          <w:sz w:val="24"/>
          <w:szCs w:val="24"/>
        </w:rPr>
        <w:t>микрокредитов</w:t>
      </w:r>
      <w:proofErr w:type="spellEnd"/>
      <w:r w:rsidR="004F5BF6" w:rsidRPr="005F1178">
        <w:rPr>
          <w:rFonts w:ascii="Times New Roman" w:hAnsi="Times New Roman"/>
          <w:i/>
          <w:sz w:val="24"/>
          <w:szCs w:val="24"/>
        </w:rPr>
        <w:t xml:space="preserve"> на общую сумму 12,5 млрд рублей. В целом объем кредитного портфеля </w:t>
      </w:r>
      <w:proofErr w:type="spellStart"/>
      <w:r w:rsidR="004F5BF6" w:rsidRPr="005F1178">
        <w:rPr>
          <w:rFonts w:ascii="Times New Roman" w:hAnsi="Times New Roman"/>
          <w:i/>
          <w:sz w:val="24"/>
          <w:szCs w:val="24"/>
        </w:rPr>
        <w:t>микрозаймов</w:t>
      </w:r>
      <w:proofErr w:type="spellEnd"/>
      <w:r w:rsidR="004F5BF6" w:rsidRPr="005F1178">
        <w:rPr>
          <w:rFonts w:ascii="Times New Roman" w:hAnsi="Times New Roman"/>
          <w:i/>
          <w:sz w:val="24"/>
          <w:szCs w:val="24"/>
        </w:rPr>
        <w:t xml:space="preserve"> вырос до 20,1 </w:t>
      </w:r>
      <w:proofErr w:type="gramStart"/>
      <w:r w:rsidR="004F5BF6" w:rsidRPr="005F1178">
        <w:rPr>
          <w:rFonts w:ascii="Times New Roman" w:hAnsi="Times New Roman"/>
          <w:i/>
          <w:sz w:val="24"/>
          <w:szCs w:val="24"/>
        </w:rPr>
        <w:t>млрд</w:t>
      </w:r>
      <w:proofErr w:type="gramEnd"/>
      <w:r w:rsidR="004F5BF6" w:rsidRPr="005F1178">
        <w:rPr>
          <w:rFonts w:ascii="Times New Roman" w:hAnsi="Times New Roman"/>
          <w:i/>
          <w:sz w:val="24"/>
          <w:szCs w:val="24"/>
        </w:rPr>
        <w:t xml:space="preserve"> рублей.</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Фактором, ограничивающим рост кредитования в секторе МСБ, является «</w:t>
      </w:r>
      <w:proofErr w:type="spellStart"/>
      <w:r w:rsidRPr="005F1178">
        <w:rPr>
          <w:rFonts w:ascii="Times New Roman" w:hAnsi="Times New Roman"/>
          <w:i/>
          <w:sz w:val="24"/>
          <w:szCs w:val="24"/>
        </w:rPr>
        <w:t>закредитованность</w:t>
      </w:r>
      <w:proofErr w:type="spellEnd"/>
      <w:r w:rsidRPr="005F1178">
        <w:rPr>
          <w:rFonts w:ascii="Times New Roman" w:hAnsi="Times New Roman"/>
          <w:i/>
          <w:sz w:val="24"/>
          <w:szCs w:val="24"/>
        </w:rPr>
        <w:t xml:space="preserve">» данного сегмента заемщиков: более 90% клиентов имеют кредитную задолженность, мы находим их данные в БКИ. С одной стороны, это означает, что банкам необходимо пересматривать представления об </w:t>
      </w:r>
      <w:proofErr w:type="gramStart"/>
      <w:r w:rsidRPr="005F1178">
        <w:rPr>
          <w:rFonts w:ascii="Times New Roman" w:hAnsi="Times New Roman"/>
          <w:i/>
          <w:sz w:val="24"/>
          <w:szCs w:val="24"/>
        </w:rPr>
        <w:t>идеальном</w:t>
      </w:r>
      <w:proofErr w:type="gramEnd"/>
      <w:r w:rsidRPr="005F1178">
        <w:rPr>
          <w:rFonts w:ascii="Times New Roman" w:hAnsi="Times New Roman"/>
          <w:i/>
          <w:sz w:val="24"/>
          <w:szCs w:val="24"/>
        </w:rPr>
        <w:t xml:space="preserve"> клиентском </w:t>
      </w:r>
      <w:proofErr w:type="spellStart"/>
      <w:r w:rsidRPr="005F1178">
        <w:rPr>
          <w:rFonts w:ascii="Times New Roman" w:hAnsi="Times New Roman"/>
          <w:i/>
          <w:sz w:val="24"/>
          <w:szCs w:val="24"/>
        </w:rPr>
        <w:t>профайле</w:t>
      </w:r>
      <w:proofErr w:type="spellEnd"/>
      <w:r w:rsidRPr="005F1178">
        <w:rPr>
          <w:rFonts w:ascii="Times New Roman" w:hAnsi="Times New Roman"/>
          <w:i/>
          <w:sz w:val="24"/>
          <w:szCs w:val="24"/>
        </w:rPr>
        <w:t xml:space="preserve"> и корректировать кредитные правила, чтобы охватить новые целевые аудитории. С другой стороны, возникает обратный эффект в управлении рисками – правила ужесточаются для выбора лучших из «</w:t>
      </w:r>
      <w:proofErr w:type="spellStart"/>
      <w:r w:rsidRPr="005F1178">
        <w:rPr>
          <w:rFonts w:ascii="Times New Roman" w:hAnsi="Times New Roman"/>
          <w:i/>
          <w:sz w:val="24"/>
          <w:szCs w:val="24"/>
        </w:rPr>
        <w:t>закредитованных</w:t>
      </w:r>
      <w:proofErr w:type="spellEnd"/>
      <w:r w:rsidRPr="005F1178">
        <w:rPr>
          <w:rFonts w:ascii="Times New Roman" w:hAnsi="Times New Roman"/>
          <w:i/>
          <w:sz w:val="24"/>
          <w:szCs w:val="24"/>
        </w:rPr>
        <w:t>».</w:t>
      </w:r>
    </w:p>
    <w:p w:rsidR="004F5BF6" w:rsidRPr="005F1178" w:rsidRDefault="00313AFC" w:rsidP="004F5BF6">
      <w:pPr>
        <w:pStyle w:val="ae"/>
        <w:numPr>
          <w:ilvl w:val="0"/>
          <w:numId w:val="9"/>
        </w:num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r w:rsidR="004F5BF6" w:rsidRPr="005F1178">
        <w:rPr>
          <w:rFonts w:ascii="Times New Roman" w:hAnsi="Times New Roman"/>
          <w:b/>
          <w:sz w:val="24"/>
          <w:szCs w:val="24"/>
        </w:rPr>
        <w:t xml:space="preserve">Как </w:t>
      </w:r>
      <w:r>
        <w:rPr>
          <w:rFonts w:ascii="Times New Roman" w:hAnsi="Times New Roman"/>
          <w:b/>
          <w:sz w:val="24"/>
          <w:szCs w:val="24"/>
        </w:rPr>
        <w:t>в</w:t>
      </w:r>
      <w:r w:rsidR="004F5BF6" w:rsidRPr="005F1178">
        <w:rPr>
          <w:rFonts w:ascii="Times New Roman" w:hAnsi="Times New Roman"/>
          <w:b/>
          <w:sz w:val="24"/>
          <w:szCs w:val="24"/>
        </w:rPr>
        <w:t xml:space="preserve">ы оцениваете динамику проблемной задолженности МСБ в целом по рынку в 2012 году? Можно ли выделить отрасли, для которых сегодня характерны наибольшие темпы роста проблемной задолженности? </w:t>
      </w:r>
    </w:p>
    <w:p w:rsidR="004F5BF6" w:rsidRPr="005F1178" w:rsidRDefault="00313AFC" w:rsidP="004F5BF6">
      <w:pPr>
        <w:autoSpaceDE w:val="0"/>
        <w:autoSpaceDN w:val="0"/>
        <w:adjustRightInd w:val="0"/>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Прирост просроченной задолженности </w:t>
      </w:r>
      <w:proofErr w:type="spellStart"/>
      <w:r w:rsidR="004F5BF6" w:rsidRPr="005F1178">
        <w:rPr>
          <w:rFonts w:ascii="Times New Roman" w:hAnsi="Times New Roman"/>
          <w:i/>
          <w:sz w:val="24"/>
          <w:szCs w:val="24"/>
        </w:rPr>
        <w:t>релевантен</w:t>
      </w:r>
      <w:proofErr w:type="spellEnd"/>
      <w:r w:rsidR="004F5BF6" w:rsidRPr="005F1178">
        <w:rPr>
          <w:rFonts w:ascii="Times New Roman" w:hAnsi="Times New Roman"/>
          <w:i/>
          <w:sz w:val="24"/>
          <w:szCs w:val="24"/>
        </w:rPr>
        <w:t xml:space="preserve"> росту объемов кредитования в целом. Безусловно, есть эффект набегающей запаздывающей волны. Существенный рост выдач в сегменте МСБ во втором полугодии 2011 года привел к формированию проблемной задолженности лишь во втором</w:t>
      </w:r>
      <w:r>
        <w:rPr>
          <w:rFonts w:ascii="Times New Roman" w:hAnsi="Times New Roman"/>
          <w:i/>
          <w:sz w:val="24"/>
          <w:szCs w:val="24"/>
        </w:rPr>
        <w:t xml:space="preserve"> и </w:t>
      </w:r>
      <w:r w:rsidR="004F5BF6" w:rsidRPr="005F1178">
        <w:rPr>
          <w:rFonts w:ascii="Times New Roman" w:hAnsi="Times New Roman"/>
          <w:i/>
          <w:sz w:val="24"/>
          <w:szCs w:val="24"/>
        </w:rPr>
        <w:t>третьем квартал</w:t>
      </w:r>
      <w:r>
        <w:rPr>
          <w:rFonts w:ascii="Times New Roman" w:hAnsi="Times New Roman"/>
          <w:i/>
          <w:sz w:val="24"/>
          <w:szCs w:val="24"/>
        </w:rPr>
        <w:t>ах</w:t>
      </w:r>
      <w:r w:rsidR="004F5BF6" w:rsidRPr="005F1178">
        <w:rPr>
          <w:rFonts w:ascii="Times New Roman" w:hAnsi="Times New Roman"/>
          <w:i/>
          <w:sz w:val="24"/>
          <w:szCs w:val="24"/>
        </w:rPr>
        <w:t xml:space="preserve"> 2012 года. В целом каких-либо отраслевых дефолтов на финансово-промышленном рынке не наблюдалось. </w:t>
      </w:r>
    </w:p>
    <w:p w:rsidR="004F5BF6" w:rsidRPr="005F1178" w:rsidRDefault="00313AFC" w:rsidP="004F5BF6">
      <w:pPr>
        <w:pStyle w:val="ae"/>
        <w:numPr>
          <w:ilvl w:val="0"/>
          <w:numId w:val="9"/>
        </w:numPr>
        <w:autoSpaceDE w:val="0"/>
        <w:autoSpaceDN w:val="0"/>
        <w:adjustRightInd w:val="0"/>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r w:rsidR="004F5BF6" w:rsidRPr="005F1178">
        <w:rPr>
          <w:rFonts w:ascii="Times New Roman" w:hAnsi="Times New Roman"/>
          <w:b/>
          <w:sz w:val="24"/>
          <w:szCs w:val="24"/>
        </w:rPr>
        <w:t xml:space="preserve">Оцените эффективность ключевых инструментов господдержки рынка – гарантийных фондов и МСП Банка – в 2012 году. Существует ли сегодня потребность в дополнительных мерах господдержки (если да, назовите их)? Как вы оцениваете решение МСП Банка по запуску программы </w:t>
      </w:r>
      <w:proofErr w:type="spellStart"/>
      <w:r w:rsidR="004F5BF6" w:rsidRPr="005F1178">
        <w:rPr>
          <w:rFonts w:ascii="Times New Roman" w:hAnsi="Times New Roman"/>
          <w:b/>
          <w:sz w:val="24"/>
          <w:szCs w:val="24"/>
        </w:rPr>
        <w:t>софинансирования</w:t>
      </w:r>
      <w:proofErr w:type="spellEnd"/>
      <w:r w:rsidR="004F5BF6" w:rsidRPr="005F1178">
        <w:rPr>
          <w:rFonts w:ascii="Times New Roman" w:hAnsi="Times New Roman"/>
          <w:b/>
          <w:sz w:val="24"/>
          <w:szCs w:val="24"/>
        </w:rPr>
        <w:t xml:space="preserve"> МСБ (совместно с банками-партнерами)? </w:t>
      </w:r>
    </w:p>
    <w:p w:rsidR="004F5BF6" w:rsidRPr="005F1178" w:rsidRDefault="00313AFC" w:rsidP="004F5BF6">
      <w:pPr>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В 2012 году МСП Банк активно развивал программы </w:t>
      </w:r>
      <w:proofErr w:type="spellStart"/>
      <w:r w:rsidR="004F5BF6" w:rsidRPr="005F1178">
        <w:rPr>
          <w:rFonts w:ascii="Times New Roman" w:hAnsi="Times New Roman"/>
          <w:i/>
          <w:sz w:val="24"/>
          <w:szCs w:val="24"/>
        </w:rPr>
        <w:t>софинансирования</w:t>
      </w:r>
      <w:proofErr w:type="spellEnd"/>
      <w:r w:rsidR="004F5BF6" w:rsidRPr="005F1178">
        <w:rPr>
          <w:rFonts w:ascii="Times New Roman" w:hAnsi="Times New Roman"/>
          <w:i/>
          <w:sz w:val="24"/>
          <w:szCs w:val="24"/>
        </w:rPr>
        <w:t xml:space="preserve">, работая как с банками, так и с </w:t>
      </w:r>
      <w:proofErr w:type="spellStart"/>
      <w:r w:rsidR="004F5BF6" w:rsidRPr="005F1178">
        <w:rPr>
          <w:rFonts w:ascii="Times New Roman" w:hAnsi="Times New Roman"/>
          <w:i/>
          <w:sz w:val="24"/>
          <w:szCs w:val="24"/>
        </w:rPr>
        <w:t>микрофинансовыми</w:t>
      </w:r>
      <w:proofErr w:type="spellEnd"/>
      <w:r w:rsidR="004F5BF6" w:rsidRPr="005F1178">
        <w:rPr>
          <w:rFonts w:ascii="Times New Roman" w:hAnsi="Times New Roman"/>
          <w:i/>
          <w:sz w:val="24"/>
          <w:szCs w:val="24"/>
        </w:rPr>
        <w:t xml:space="preserve"> организациями. Очевидно, что деятельность таких институтов</w:t>
      </w:r>
      <w:r>
        <w:rPr>
          <w:rFonts w:ascii="Times New Roman" w:hAnsi="Times New Roman"/>
          <w:i/>
          <w:sz w:val="24"/>
          <w:szCs w:val="24"/>
        </w:rPr>
        <w:t>,</w:t>
      </w:r>
      <w:r w:rsidR="004F5BF6" w:rsidRPr="005F1178">
        <w:rPr>
          <w:rFonts w:ascii="Times New Roman" w:hAnsi="Times New Roman"/>
          <w:i/>
          <w:sz w:val="24"/>
          <w:szCs w:val="24"/>
        </w:rPr>
        <w:t xml:space="preserve"> как гарантийные фонды и МСП Банк</w:t>
      </w:r>
      <w:r>
        <w:rPr>
          <w:rFonts w:ascii="Times New Roman" w:hAnsi="Times New Roman"/>
          <w:i/>
          <w:sz w:val="24"/>
          <w:szCs w:val="24"/>
        </w:rPr>
        <w:t>,</w:t>
      </w:r>
      <w:r w:rsidR="004F5BF6" w:rsidRPr="005F1178">
        <w:rPr>
          <w:rFonts w:ascii="Times New Roman" w:hAnsi="Times New Roman"/>
          <w:i/>
          <w:sz w:val="24"/>
          <w:szCs w:val="24"/>
        </w:rPr>
        <w:t xml:space="preserve"> способствует активизации рынка. Для МФО и небольших банков это возможность получить недорогие ресурсы для развития своих программ кредитования МСБ. </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Банк «ТРАСТ» работает в сегменте МСБ по розничным технологиям, что позволяет нам принимать решение по заявке в течение 10 минут и предоставлять кредиты предпринимателям на их счета физических лиц. Для таких крупных розничных игроков</w:t>
      </w:r>
      <w:r w:rsidR="00313AFC">
        <w:rPr>
          <w:rFonts w:ascii="Times New Roman" w:hAnsi="Times New Roman"/>
          <w:i/>
          <w:sz w:val="24"/>
          <w:szCs w:val="24"/>
        </w:rPr>
        <w:t>,</w:t>
      </w:r>
      <w:r w:rsidRPr="005F1178">
        <w:rPr>
          <w:rFonts w:ascii="Times New Roman" w:hAnsi="Times New Roman"/>
          <w:i/>
          <w:sz w:val="24"/>
          <w:szCs w:val="24"/>
        </w:rPr>
        <w:t xml:space="preserve"> как ТРАСТ</w:t>
      </w:r>
      <w:r w:rsidR="00313AFC">
        <w:rPr>
          <w:rFonts w:ascii="Times New Roman" w:hAnsi="Times New Roman"/>
          <w:i/>
          <w:sz w:val="24"/>
          <w:szCs w:val="24"/>
        </w:rPr>
        <w:t>,</w:t>
      </w:r>
      <w:r w:rsidRPr="005F1178">
        <w:rPr>
          <w:rFonts w:ascii="Times New Roman" w:hAnsi="Times New Roman"/>
          <w:i/>
          <w:sz w:val="24"/>
          <w:szCs w:val="24"/>
        </w:rPr>
        <w:t xml:space="preserve"> проекты на уровне 500 </w:t>
      </w:r>
      <w:proofErr w:type="gramStart"/>
      <w:r w:rsidRPr="005F1178">
        <w:rPr>
          <w:rFonts w:ascii="Times New Roman" w:hAnsi="Times New Roman"/>
          <w:i/>
          <w:sz w:val="24"/>
          <w:szCs w:val="24"/>
        </w:rPr>
        <w:t>млн</w:t>
      </w:r>
      <w:proofErr w:type="gramEnd"/>
      <w:r w:rsidRPr="005F1178">
        <w:rPr>
          <w:rFonts w:ascii="Times New Roman" w:hAnsi="Times New Roman"/>
          <w:i/>
          <w:sz w:val="24"/>
          <w:szCs w:val="24"/>
        </w:rPr>
        <w:t xml:space="preserve"> рублей и даже 1 млрд рублей – это емкость одного месяца. </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 xml:space="preserve">На мой взгляд, первостепенными дополнительными мерами господдержки должно стать детализированное ранжирование рынка МСБ и распространение патентного налогообложения. </w:t>
      </w:r>
    </w:p>
    <w:p w:rsidR="004F5BF6" w:rsidRPr="005F1178" w:rsidRDefault="00313AFC" w:rsidP="004F5BF6">
      <w:pPr>
        <w:pStyle w:val="ae"/>
        <w:numPr>
          <w:ilvl w:val="0"/>
          <w:numId w:val="9"/>
        </w:num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4F5BF6" w:rsidRPr="005F1178">
        <w:rPr>
          <w:rFonts w:ascii="Times New Roman" w:hAnsi="Times New Roman"/>
          <w:b/>
          <w:sz w:val="24"/>
          <w:szCs w:val="24"/>
        </w:rPr>
        <w:t xml:space="preserve">Какие стратегии борьбы за заемщиков были в 2012 году наиболее эффективными? Ожидаете ли </w:t>
      </w:r>
      <w:r>
        <w:rPr>
          <w:rFonts w:ascii="Times New Roman" w:hAnsi="Times New Roman"/>
          <w:b/>
          <w:sz w:val="24"/>
          <w:szCs w:val="24"/>
        </w:rPr>
        <w:t>в</w:t>
      </w:r>
      <w:r w:rsidR="004F5BF6" w:rsidRPr="005F1178">
        <w:rPr>
          <w:rFonts w:ascii="Times New Roman" w:hAnsi="Times New Roman"/>
          <w:b/>
          <w:sz w:val="24"/>
          <w:szCs w:val="24"/>
        </w:rPr>
        <w:t xml:space="preserve">ы какие-либо значимые «перестановки» среди ведущих участников рынка до конца текущего года? </w:t>
      </w:r>
    </w:p>
    <w:p w:rsidR="004F5BF6" w:rsidRPr="005F1178" w:rsidRDefault="00313AFC" w:rsidP="004F5BF6">
      <w:pPr>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В первую очередь, появились новые каналы коммуникации: активно развивались дистанционные способы предоставления кредитов МСБ и </w:t>
      </w:r>
      <w:r w:rsidR="004F5BF6" w:rsidRPr="005F1178">
        <w:rPr>
          <w:rFonts w:ascii="Times New Roman" w:hAnsi="Times New Roman"/>
          <w:i/>
          <w:sz w:val="24"/>
          <w:szCs w:val="24"/>
          <w:lang w:val="en-US"/>
        </w:rPr>
        <w:t>SMM</w:t>
      </w:r>
      <w:r w:rsidR="00B951C9">
        <w:rPr>
          <w:rFonts w:ascii="Times New Roman" w:hAnsi="Times New Roman"/>
          <w:i/>
          <w:sz w:val="24"/>
          <w:szCs w:val="24"/>
        </w:rPr>
        <w:t>-</w:t>
      </w:r>
      <w:r w:rsidR="004F5BF6" w:rsidRPr="005F1178">
        <w:rPr>
          <w:rFonts w:ascii="Times New Roman" w:hAnsi="Times New Roman"/>
          <w:i/>
          <w:sz w:val="24"/>
          <w:szCs w:val="24"/>
        </w:rPr>
        <w:t xml:space="preserve">маркетинг в социальных сетях, что позволяет  удерживать существующих клиентов и формировать лояльность молодого мобильного поколения предпринимателей. Кроме того, в сферу кредитования МСБ пришли технологии, применяемые в ритейле. </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На сегодняшний день особо остро конкуренция в борьбе за заемщиков ощущается в сегменте микрофинансирования, где работают как банки, так и МФО. На этом рынке наиболее эффективными инструментами привлечения клиентов явля</w:t>
      </w:r>
      <w:r w:rsidR="00B951C9">
        <w:rPr>
          <w:rFonts w:ascii="Times New Roman" w:hAnsi="Times New Roman"/>
          <w:i/>
          <w:sz w:val="24"/>
          <w:szCs w:val="24"/>
        </w:rPr>
        <w:t>ю</w:t>
      </w:r>
      <w:r w:rsidRPr="005F1178">
        <w:rPr>
          <w:rFonts w:ascii="Times New Roman" w:hAnsi="Times New Roman"/>
          <w:i/>
          <w:sz w:val="24"/>
          <w:szCs w:val="24"/>
        </w:rPr>
        <w:t xml:space="preserve">тся скорость принятия решений и процентная ставка по кредитам. </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sz w:val="24"/>
          <w:szCs w:val="24"/>
        </w:rPr>
        <w:t>Что касается «перестановки» среди ведущих участников рынка до конца текущего года</w:t>
      </w:r>
      <w:r w:rsidR="00B951C9">
        <w:rPr>
          <w:rFonts w:ascii="Times New Roman" w:hAnsi="Times New Roman"/>
          <w:i/>
          <w:sz w:val="24"/>
          <w:szCs w:val="24"/>
        </w:rPr>
        <w:t>, то</w:t>
      </w:r>
      <w:r w:rsidRPr="005F1178">
        <w:rPr>
          <w:rFonts w:ascii="Times New Roman" w:hAnsi="Times New Roman"/>
          <w:i/>
          <w:sz w:val="24"/>
          <w:szCs w:val="24"/>
        </w:rPr>
        <w:t xml:space="preserve"> мы не прогнозируем изменений в пуле ведущих игроков.</w:t>
      </w:r>
    </w:p>
    <w:p w:rsidR="004F5BF6" w:rsidRPr="005F1178" w:rsidRDefault="00B951C9" w:rsidP="004F5BF6">
      <w:pPr>
        <w:pStyle w:val="ae"/>
        <w:numPr>
          <w:ilvl w:val="0"/>
          <w:numId w:val="9"/>
        </w:num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r w:rsidR="004F5BF6" w:rsidRPr="005F1178">
        <w:rPr>
          <w:rFonts w:ascii="Times New Roman" w:hAnsi="Times New Roman"/>
          <w:b/>
          <w:sz w:val="24"/>
          <w:szCs w:val="24"/>
        </w:rPr>
        <w:t xml:space="preserve">Насколько перспективной является стратегия выстраивания обслуживания МСБ по комплексным тарифным планам (предусматривающим одновременно РКО, </w:t>
      </w:r>
      <w:proofErr w:type="spellStart"/>
      <w:r w:rsidR="004F5BF6" w:rsidRPr="005F1178">
        <w:rPr>
          <w:rFonts w:ascii="Times New Roman" w:hAnsi="Times New Roman"/>
          <w:b/>
          <w:sz w:val="24"/>
          <w:szCs w:val="24"/>
        </w:rPr>
        <w:t>овердрафтное</w:t>
      </w:r>
      <w:proofErr w:type="spellEnd"/>
      <w:r w:rsidR="004F5BF6" w:rsidRPr="005F1178">
        <w:rPr>
          <w:rFonts w:ascii="Times New Roman" w:hAnsi="Times New Roman"/>
          <w:b/>
          <w:sz w:val="24"/>
          <w:szCs w:val="24"/>
        </w:rPr>
        <w:t xml:space="preserve"> кредитование и т.</w:t>
      </w:r>
      <w:r>
        <w:rPr>
          <w:rFonts w:ascii="Times New Roman" w:hAnsi="Times New Roman"/>
          <w:b/>
          <w:sz w:val="24"/>
          <w:szCs w:val="24"/>
        </w:rPr>
        <w:t xml:space="preserve"> </w:t>
      </w:r>
      <w:r w:rsidR="004F5BF6" w:rsidRPr="005F1178">
        <w:rPr>
          <w:rFonts w:ascii="Times New Roman" w:hAnsi="Times New Roman"/>
          <w:b/>
          <w:sz w:val="24"/>
          <w:szCs w:val="24"/>
        </w:rPr>
        <w:t xml:space="preserve">д.)? Насколько при этом могут расти непроцентные и процентные доходы </w:t>
      </w:r>
      <w:r>
        <w:rPr>
          <w:rFonts w:ascii="Times New Roman" w:hAnsi="Times New Roman"/>
          <w:b/>
          <w:sz w:val="24"/>
          <w:szCs w:val="24"/>
        </w:rPr>
        <w:t>б</w:t>
      </w:r>
      <w:r w:rsidR="004F5BF6" w:rsidRPr="005F1178">
        <w:rPr>
          <w:rFonts w:ascii="Times New Roman" w:hAnsi="Times New Roman"/>
          <w:b/>
          <w:sz w:val="24"/>
          <w:szCs w:val="24"/>
        </w:rPr>
        <w:t xml:space="preserve">анка по сравнению с обычной тарифной линейкой? </w:t>
      </w:r>
    </w:p>
    <w:p w:rsidR="004F5BF6" w:rsidRPr="005F1178" w:rsidRDefault="00B951C9" w:rsidP="004F5BF6">
      <w:pPr>
        <w:spacing w:before="100" w:beforeAutospacing="1" w:after="100" w:afterAutospacing="1" w:line="240" w:lineRule="auto"/>
        <w:jc w:val="both"/>
        <w:rPr>
          <w:rFonts w:ascii="Times New Roman" w:hAnsi="Times New Roman"/>
          <w:i/>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Развитие непроцентных доходов является одной из основных задач, учитывая, что в настоящее время их доля составляет 15-20%. В международной практике комиссионные </w:t>
      </w:r>
      <w:proofErr w:type="spellStart"/>
      <w:r w:rsidR="004F5BF6" w:rsidRPr="005F1178">
        <w:rPr>
          <w:rFonts w:ascii="Times New Roman" w:hAnsi="Times New Roman"/>
          <w:i/>
          <w:sz w:val="24"/>
          <w:szCs w:val="24"/>
        </w:rPr>
        <w:t>некредитные</w:t>
      </w:r>
      <w:proofErr w:type="spellEnd"/>
      <w:r w:rsidR="004F5BF6" w:rsidRPr="005F1178">
        <w:rPr>
          <w:rFonts w:ascii="Times New Roman" w:hAnsi="Times New Roman"/>
          <w:i/>
          <w:sz w:val="24"/>
          <w:szCs w:val="24"/>
        </w:rPr>
        <w:t xml:space="preserve"> доходы банков достигают 50% от общего объема доходов.</w:t>
      </w:r>
    </w:p>
    <w:p w:rsidR="004F5BF6" w:rsidRPr="005F1178" w:rsidRDefault="004F5BF6" w:rsidP="004F5BF6">
      <w:pPr>
        <w:spacing w:before="100" w:beforeAutospacing="1" w:after="100" w:afterAutospacing="1" w:line="240" w:lineRule="auto"/>
        <w:jc w:val="both"/>
        <w:rPr>
          <w:rFonts w:ascii="Times New Roman" w:hAnsi="Times New Roman"/>
          <w:i/>
          <w:sz w:val="24"/>
          <w:szCs w:val="24"/>
        </w:rPr>
      </w:pPr>
      <w:r w:rsidRPr="005F1178">
        <w:rPr>
          <w:rFonts w:ascii="Times New Roman" w:hAnsi="Times New Roman"/>
          <w:i/>
          <w:sz w:val="24"/>
          <w:szCs w:val="24"/>
        </w:rPr>
        <w:t xml:space="preserve">Комплексные тарифы – это одно из решений в выстраивании новых подходов в обслуживании сегмента МСБ. Еще одна возможность </w:t>
      </w:r>
      <w:r w:rsidR="00B951C9">
        <w:rPr>
          <w:rFonts w:ascii="Times New Roman" w:hAnsi="Times New Roman"/>
          <w:i/>
          <w:sz w:val="24"/>
          <w:szCs w:val="24"/>
        </w:rPr>
        <w:t>–</w:t>
      </w:r>
      <w:r w:rsidRPr="005F1178">
        <w:rPr>
          <w:rFonts w:ascii="Times New Roman" w:hAnsi="Times New Roman"/>
          <w:i/>
          <w:sz w:val="24"/>
          <w:szCs w:val="24"/>
        </w:rPr>
        <w:t xml:space="preserve"> расширение ко-</w:t>
      </w:r>
      <w:proofErr w:type="spellStart"/>
      <w:r w:rsidRPr="005F1178">
        <w:rPr>
          <w:rFonts w:ascii="Times New Roman" w:hAnsi="Times New Roman"/>
          <w:i/>
          <w:sz w:val="24"/>
          <w:szCs w:val="24"/>
        </w:rPr>
        <w:t>брендинговых</w:t>
      </w:r>
      <w:proofErr w:type="spellEnd"/>
      <w:r w:rsidRPr="005F1178">
        <w:rPr>
          <w:rFonts w:ascii="Times New Roman" w:hAnsi="Times New Roman"/>
          <w:i/>
          <w:sz w:val="24"/>
          <w:szCs w:val="24"/>
        </w:rPr>
        <w:t xml:space="preserve"> программ с организациями, для которых малые предприниматели являются основными клиентами. В тарифные планы могут быть включены как банковские продукты, так и любые другие сервисы бухучета и финансового планирования, </w:t>
      </w:r>
      <w:proofErr w:type="spellStart"/>
      <w:r w:rsidRPr="005F1178">
        <w:rPr>
          <w:rFonts w:ascii="Times New Roman" w:hAnsi="Times New Roman"/>
          <w:i/>
          <w:sz w:val="24"/>
          <w:szCs w:val="24"/>
        </w:rPr>
        <w:t>биллинг</w:t>
      </w:r>
      <w:proofErr w:type="spellEnd"/>
      <w:r w:rsidRPr="005F1178">
        <w:rPr>
          <w:rFonts w:ascii="Times New Roman" w:hAnsi="Times New Roman"/>
          <w:i/>
          <w:sz w:val="24"/>
          <w:szCs w:val="24"/>
        </w:rPr>
        <w:t xml:space="preserve"> операторов сотовых сетей и т.</w:t>
      </w:r>
      <w:r w:rsidR="00753E80">
        <w:rPr>
          <w:rFonts w:ascii="Times New Roman" w:hAnsi="Times New Roman"/>
          <w:i/>
          <w:sz w:val="24"/>
          <w:szCs w:val="24"/>
        </w:rPr>
        <w:t xml:space="preserve"> </w:t>
      </w:r>
      <w:r w:rsidRPr="005F1178">
        <w:rPr>
          <w:rFonts w:ascii="Times New Roman" w:hAnsi="Times New Roman"/>
          <w:i/>
          <w:sz w:val="24"/>
          <w:szCs w:val="24"/>
        </w:rPr>
        <w:t>п.</w:t>
      </w:r>
    </w:p>
    <w:p w:rsidR="004F5BF6" w:rsidRPr="005F1178" w:rsidRDefault="00753E80" w:rsidP="004F5BF6">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r w:rsidR="004F5BF6" w:rsidRPr="005F1178">
        <w:rPr>
          <w:rFonts w:ascii="Times New Roman" w:hAnsi="Times New Roman"/>
          <w:b/>
          <w:sz w:val="24"/>
          <w:szCs w:val="24"/>
        </w:rPr>
        <w:t>Дайте свой прогноз по темпам роста кредитного портфеля МСБ по банковской системе до конца 2013 года и в 2014 году. Выделите ключевые драйверы и ограничители роста.</w:t>
      </w:r>
    </w:p>
    <w:p w:rsidR="004F5BF6" w:rsidRPr="00753E80" w:rsidRDefault="00753E80" w:rsidP="0080651F">
      <w:pPr>
        <w:spacing w:before="100" w:beforeAutospacing="1" w:after="100" w:afterAutospacing="1" w:line="240" w:lineRule="auto"/>
        <w:jc w:val="both"/>
        <w:rPr>
          <w:rFonts w:ascii="Times New Roman" w:hAnsi="Times New Roman"/>
          <w:sz w:val="24"/>
          <w:szCs w:val="24"/>
        </w:rPr>
      </w:pPr>
      <w:r>
        <w:rPr>
          <w:rFonts w:ascii="Times New Roman" w:hAnsi="Times New Roman"/>
          <w:i/>
          <w:sz w:val="24"/>
          <w:szCs w:val="24"/>
        </w:rPr>
        <w:t xml:space="preserve">– </w:t>
      </w:r>
      <w:r w:rsidR="004F5BF6" w:rsidRPr="005F1178">
        <w:rPr>
          <w:rFonts w:ascii="Times New Roman" w:hAnsi="Times New Roman"/>
          <w:i/>
          <w:sz w:val="24"/>
          <w:szCs w:val="24"/>
        </w:rPr>
        <w:t xml:space="preserve">Мы ожидаем сдержанный рост рынка кредитования МСБ на уровне 15-20% в год. Ключевой ограничитель роста – уровень достаточности капитализации банковской системы и необходимость </w:t>
      </w:r>
      <w:proofErr w:type="spellStart"/>
      <w:r w:rsidR="004F5BF6" w:rsidRPr="005F1178">
        <w:rPr>
          <w:rFonts w:ascii="Times New Roman" w:hAnsi="Times New Roman"/>
          <w:i/>
          <w:sz w:val="24"/>
          <w:szCs w:val="24"/>
        </w:rPr>
        <w:t>дорезервирования</w:t>
      </w:r>
      <w:proofErr w:type="spellEnd"/>
      <w:r w:rsidR="004F5BF6" w:rsidRPr="005F1178">
        <w:rPr>
          <w:rFonts w:ascii="Times New Roman" w:hAnsi="Times New Roman"/>
          <w:i/>
          <w:sz w:val="24"/>
          <w:szCs w:val="24"/>
        </w:rPr>
        <w:t xml:space="preserve"> текущих портфелей в соответствии с новыми правилами. </w:t>
      </w:r>
      <w:r w:rsidR="004F5BF6" w:rsidRPr="00753E80">
        <w:rPr>
          <w:rFonts w:ascii="Times New Roman" w:hAnsi="Times New Roman"/>
          <w:i/>
          <w:sz w:val="24"/>
          <w:szCs w:val="24"/>
        </w:rPr>
        <w:t xml:space="preserve">Основным драйвером роста станет развитие новых технологий, а также новые ниши, такие как кредитование </w:t>
      </w:r>
      <w:r w:rsidR="004F5BF6" w:rsidRPr="0080651F">
        <w:rPr>
          <w:i/>
          <w:sz w:val="24"/>
          <w:szCs w:val="24"/>
        </w:rPr>
        <w:t>«</w:t>
      </w:r>
      <w:r w:rsidR="004F5BF6" w:rsidRPr="00753E80">
        <w:rPr>
          <w:rFonts w:ascii="Times New Roman" w:hAnsi="Times New Roman"/>
          <w:i/>
          <w:sz w:val="24"/>
          <w:szCs w:val="24"/>
        </w:rPr>
        <w:t>виртуального МСБ</w:t>
      </w:r>
      <w:r w:rsidR="004F5BF6" w:rsidRPr="0080651F">
        <w:rPr>
          <w:i/>
          <w:sz w:val="24"/>
          <w:szCs w:val="24"/>
        </w:rPr>
        <w:t>»</w:t>
      </w:r>
      <w:r w:rsidR="004F5BF6" w:rsidRPr="00753E80">
        <w:rPr>
          <w:rFonts w:ascii="Times New Roman" w:hAnsi="Times New Roman"/>
          <w:i/>
          <w:sz w:val="24"/>
          <w:szCs w:val="24"/>
        </w:rPr>
        <w:t xml:space="preserve">. </w:t>
      </w:r>
      <w:r w:rsidR="004F5BF6" w:rsidRPr="0080651F">
        <w:rPr>
          <w:i/>
          <w:sz w:val="24"/>
          <w:szCs w:val="24"/>
        </w:rPr>
        <w:t>Например, в</w:t>
      </w:r>
      <w:r w:rsidR="004F5BF6" w:rsidRPr="00753E80">
        <w:rPr>
          <w:rFonts w:ascii="Times New Roman" w:hAnsi="Times New Roman"/>
          <w:i/>
          <w:sz w:val="24"/>
          <w:szCs w:val="24"/>
        </w:rPr>
        <w:t xml:space="preserve"> </w:t>
      </w:r>
      <w:r w:rsidR="004F5BF6" w:rsidRPr="0080651F">
        <w:rPr>
          <w:i/>
          <w:sz w:val="24"/>
          <w:szCs w:val="24"/>
        </w:rPr>
        <w:t>ближайшие несколько лет на рынке появятся</w:t>
      </w:r>
      <w:r w:rsidR="004F5BF6" w:rsidRPr="00753E80">
        <w:rPr>
          <w:rFonts w:ascii="Times New Roman" w:hAnsi="Times New Roman"/>
          <w:i/>
          <w:sz w:val="24"/>
          <w:szCs w:val="24"/>
        </w:rPr>
        <w:t xml:space="preserve"> кредитные продукты для </w:t>
      </w:r>
      <w:proofErr w:type="gramStart"/>
      <w:r w:rsidR="004F5BF6" w:rsidRPr="00753E80">
        <w:rPr>
          <w:rFonts w:ascii="Times New Roman" w:hAnsi="Times New Roman"/>
          <w:i/>
          <w:sz w:val="24"/>
          <w:szCs w:val="24"/>
        </w:rPr>
        <w:t>интернет-ма</w:t>
      </w:r>
      <w:r w:rsidR="004F5BF6" w:rsidRPr="0080651F">
        <w:rPr>
          <w:i/>
          <w:sz w:val="24"/>
          <w:szCs w:val="24"/>
        </w:rPr>
        <w:t>газинов</w:t>
      </w:r>
      <w:proofErr w:type="gramEnd"/>
      <w:r w:rsidR="004F5BF6" w:rsidRPr="0080651F">
        <w:rPr>
          <w:i/>
          <w:sz w:val="24"/>
          <w:szCs w:val="24"/>
        </w:rPr>
        <w:t>, работающих только он</w:t>
      </w:r>
      <w:r w:rsidR="004F5BF6" w:rsidRPr="00753E80">
        <w:rPr>
          <w:rFonts w:ascii="Times New Roman" w:hAnsi="Times New Roman"/>
          <w:i/>
          <w:sz w:val="24"/>
          <w:szCs w:val="24"/>
        </w:rPr>
        <w:t>лайн. На с</w:t>
      </w:r>
      <w:r w:rsidR="004F5BF6" w:rsidRPr="0080651F">
        <w:rPr>
          <w:i/>
          <w:sz w:val="24"/>
          <w:szCs w:val="24"/>
        </w:rPr>
        <w:t xml:space="preserve">егодняшний день </w:t>
      </w:r>
      <w:r w:rsidRPr="00753E80">
        <w:rPr>
          <w:rFonts w:ascii="Times New Roman" w:hAnsi="Times New Roman"/>
          <w:i/>
          <w:sz w:val="24"/>
          <w:szCs w:val="24"/>
        </w:rPr>
        <w:t>И</w:t>
      </w:r>
      <w:r w:rsidR="004F5BF6" w:rsidRPr="00753E80">
        <w:rPr>
          <w:rFonts w:ascii="Times New Roman" w:hAnsi="Times New Roman"/>
          <w:i/>
          <w:sz w:val="24"/>
          <w:szCs w:val="24"/>
        </w:rPr>
        <w:t xml:space="preserve">нтернет </w:t>
      </w:r>
      <w:r w:rsidRPr="00753E80">
        <w:rPr>
          <w:rFonts w:ascii="Times New Roman" w:hAnsi="Times New Roman"/>
          <w:i/>
          <w:sz w:val="24"/>
          <w:szCs w:val="24"/>
        </w:rPr>
        <w:t>–</w:t>
      </w:r>
      <w:r w:rsidR="004F5BF6" w:rsidRPr="00753E80">
        <w:rPr>
          <w:rFonts w:ascii="Times New Roman" w:hAnsi="Times New Roman"/>
          <w:i/>
          <w:sz w:val="24"/>
          <w:szCs w:val="24"/>
        </w:rPr>
        <w:t xml:space="preserve"> это </w:t>
      </w:r>
      <w:proofErr w:type="spellStart"/>
      <w:r w:rsidR="004F5BF6" w:rsidRPr="00753E80">
        <w:rPr>
          <w:rFonts w:ascii="Times New Roman" w:hAnsi="Times New Roman"/>
          <w:i/>
          <w:sz w:val="24"/>
          <w:szCs w:val="24"/>
        </w:rPr>
        <w:t>демополизированный</w:t>
      </w:r>
      <w:proofErr w:type="spellEnd"/>
      <w:r w:rsidR="004F5BF6" w:rsidRPr="00753E80">
        <w:rPr>
          <w:rFonts w:ascii="Times New Roman" w:hAnsi="Times New Roman"/>
          <w:i/>
          <w:sz w:val="24"/>
          <w:szCs w:val="24"/>
        </w:rPr>
        <w:t xml:space="preserve"> рынок или, другими словами, рынок малого и среднего бизнеса. </w:t>
      </w:r>
    </w:p>
    <w:p w:rsidR="004F5BF6" w:rsidRPr="005F1178" w:rsidRDefault="004F5BF6" w:rsidP="004F5BF6">
      <w:pPr>
        <w:jc w:val="both"/>
        <w:rPr>
          <w:rFonts w:ascii="Times New Roman" w:hAnsi="Times New Roman" w:cs="Times New Roman"/>
          <w:b/>
          <w:sz w:val="24"/>
          <w:szCs w:val="24"/>
        </w:rPr>
      </w:pPr>
      <w:r w:rsidRPr="005F1178">
        <w:rPr>
          <w:rFonts w:ascii="Times New Roman" w:hAnsi="Times New Roman" w:cs="Times New Roman"/>
          <w:b/>
          <w:sz w:val="24"/>
          <w:szCs w:val="24"/>
        </w:rPr>
        <w:t xml:space="preserve">Интервью с Марией Барсовой, директором департамента по страхованию имущественных рисков и ответственности СГ </w:t>
      </w:r>
      <w:r w:rsidR="00753E80">
        <w:rPr>
          <w:rFonts w:ascii="Times New Roman" w:hAnsi="Times New Roman" w:cs="Times New Roman"/>
          <w:b/>
          <w:sz w:val="24"/>
          <w:szCs w:val="24"/>
        </w:rPr>
        <w:t>«</w:t>
      </w:r>
      <w:r w:rsidRPr="005F1178">
        <w:rPr>
          <w:rFonts w:ascii="Times New Roman" w:hAnsi="Times New Roman" w:cs="Times New Roman"/>
          <w:b/>
          <w:sz w:val="24"/>
          <w:szCs w:val="24"/>
        </w:rPr>
        <w:t>УРАЛСИБ</w:t>
      </w:r>
      <w:r w:rsidR="00753E80">
        <w:rPr>
          <w:rFonts w:ascii="Times New Roman" w:hAnsi="Times New Roman" w:cs="Times New Roman"/>
          <w:b/>
          <w:sz w:val="24"/>
          <w:szCs w:val="24"/>
        </w:rPr>
        <w:t>»</w:t>
      </w:r>
    </w:p>
    <w:p w:rsidR="004F5BF6" w:rsidRPr="005F1178" w:rsidRDefault="00753E80" w:rsidP="004F5BF6">
      <w:pPr>
        <w:pStyle w:val="af"/>
      </w:pPr>
      <w:r>
        <w:lastRenderedPageBreak/>
        <w:t xml:space="preserve">– </w:t>
      </w:r>
      <w:r w:rsidR="004F5BF6" w:rsidRPr="005F1178">
        <w:rPr>
          <w:b/>
          <w:bCs/>
        </w:rPr>
        <w:t xml:space="preserve">Какие страховые продукты наиболее востребованы малым и средним бизнесом (МСБ)? Какая доля взносов приходится на страхование залогов? </w:t>
      </w:r>
    </w:p>
    <w:p w:rsidR="004F5BF6" w:rsidRPr="005F1178" w:rsidRDefault="00753E80" w:rsidP="004F5BF6">
      <w:pPr>
        <w:pStyle w:val="af"/>
      </w:pPr>
      <w:r>
        <w:t xml:space="preserve">– </w:t>
      </w:r>
      <w:r w:rsidR="004F5BF6" w:rsidRPr="005F1178">
        <w:t>В большинстве развитых стран малый и средний бизнес стал опорой для экономики, а в России этот сегмент по-прежнему остается наименее защищенным. Предприниматели часто не</w:t>
      </w:r>
      <w:r w:rsidR="00861D0A">
        <w:t xml:space="preserve"> </w:t>
      </w:r>
      <w:r w:rsidR="004F5BF6" w:rsidRPr="005F1178">
        <w:t xml:space="preserve">способны самостоятельно обеспечить непрерывность своей деятельности при непредвиденных расходах, то есть почти любые форс-мажорные обстоятельства могут вызвать серьезные финансовые проблемы. </w:t>
      </w:r>
    </w:p>
    <w:p w:rsidR="004F5BF6" w:rsidRPr="005F1178" w:rsidRDefault="004F5BF6" w:rsidP="004F5BF6">
      <w:pPr>
        <w:pStyle w:val="af"/>
      </w:pPr>
      <w:r w:rsidRPr="005F1178">
        <w:t xml:space="preserve">Самым популярным из всех видов страхования для МСБ, безусловно, было и остается страхование имущества и ответственности. Например, в СГ </w:t>
      </w:r>
      <w:r w:rsidR="00861D0A">
        <w:t>«</w:t>
      </w:r>
      <w:r w:rsidRPr="005F1178">
        <w:t>УРАЛСИБ</w:t>
      </w:r>
      <w:r w:rsidR="00861D0A">
        <w:t>»</w:t>
      </w:r>
      <w:r w:rsidRPr="005F1178">
        <w:t xml:space="preserve"> разработана специальная программа страхования, ориентированная на реальные потребности, а главное </w:t>
      </w:r>
      <w:r w:rsidR="00861D0A">
        <w:t>–</w:t>
      </w:r>
      <w:r w:rsidRPr="005F1178">
        <w:t xml:space="preserve">  возможности малого и среднего бизнеса. Универсальный страховой продукт позволяет предпринимателю выбирать, какие объекты и от каких именно рисков он страхует, выбирать вариант оплаты страховой премии – единовременно или в рассрочку. Упрощён процесс оформления полиса – для заключения договора требуется минимальный пакет документов, а сама процедура проходит в короткие сроки. Кроме того, при заключении договора не требуется подтверждение стоимости имущества. Полис может быть вручен клиенту в день посещения. Другой плюс специального продукта </w:t>
      </w:r>
      <w:r w:rsidR="00861D0A">
        <w:t xml:space="preserve">в том, что </w:t>
      </w:r>
      <w:r w:rsidRPr="005F1178">
        <w:t xml:space="preserve"> он удовлетворяет требования банков-кредиторов по страхованию залогового имущества. Отмечу, что именно залоговое имущество составляет большинство портфеля по сегменту МСБ. Это порядка 80% от общего количества сборов. Как правило, индивидуальные предприниматели страхуют имущество по требованию банков или арендодателей. В основном в качестве залога страхуются здания, земельные участки, производственное и технологическое  оборудование. В последнее время требования банков распространяются также и на товары в обороте и готовую продукцию на складе. </w:t>
      </w:r>
    </w:p>
    <w:p w:rsidR="004F5BF6" w:rsidRPr="005F1178" w:rsidRDefault="004F5BF6" w:rsidP="004F5BF6">
      <w:pPr>
        <w:pStyle w:val="af"/>
      </w:pPr>
      <w:r w:rsidRPr="005F1178">
        <w:t xml:space="preserve">Владельцы небольших магазинов, стационарных павильонов, предприятий мелкооптовой торговли, ресторанов и кафе часто  страхуют ответственность перед третьими лицами. В сегменте  МСБ также распространено страхование гражданской ответственности строителей, проектировщиков и изыскателей. </w:t>
      </w:r>
    </w:p>
    <w:p w:rsidR="004F5BF6" w:rsidRPr="005F1178" w:rsidRDefault="004F5BF6" w:rsidP="004F5BF6">
      <w:pPr>
        <w:pStyle w:val="af"/>
      </w:pPr>
      <w:r w:rsidRPr="005F1178">
        <w:t>Представлен сегмент МСБ и в страховании грузоперевозок. В 80% случаев страхование гражданской ответственности перевозчиков</w:t>
      </w:r>
      <w:r w:rsidR="00861D0A">
        <w:t xml:space="preserve"> –</w:t>
      </w:r>
      <w:r w:rsidRPr="005F1178">
        <w:t xml:space="preserve"> как раз требование представителей малого и среднего бизнеса. Такие клиенты стараются максимально обезопасить себя от возможных убытков при перевозке грузов и страху</w:t>
      </w:r>
      <w:r w:rsidR="00861D0A">
        <w:t>ю</w:t>
      </w:r>
      <w:r w:rsidRPr="005F1178">
        <w:t xml:space="preserve">т гражданскую ответственность за причинение вреда. </w:t>
      </w:r>
    </w:p>
    <w:p w:rsidR="004F5BF6" w:rsidRPr="005F1178" w:rsidRDefault="00861D0A" w:rsidP="004F5BF6">
      <w:pPr>
        <w:pStyle w:val="af"/>
      </w:pPr>
      <w:r>
        <w:t xml:space="preserve">– </w:t>
      </w:r>
      <w:r w:rsidR="004F5BF6" w:rsidRPr="005F1178">
        <w:rPr>
          <w:b/>
          <w:bCs/>
        </w:rPr>
        <w:t xml:space="preserve">Как бы </w:t>
      </w:r>
      <w:r>
        <w:rPr>
          <w:b/>
          <w:bCs/>
        </w:rPr>
        <w:t>в</w:t>
      </w:r>
      <w:r w:rsidR="004F5BF6" w:rsidRPr="005F1178">
        <w:rPr>
          <w:b/>
          <w:bCs/>
        </w:rPr>
        <w:t xml:space="preserve">ы оценили уровень выплат и убыточность (с учетом изменения  резервов) при работе с МСБ? </w:t>
      </w:r>
    </w:p>
    <w:p w:rsidR="004F5BF6" w:rsidRPr="005F1178" w:rsidRDefault="00861D0A" w:rsidP="004F5BF6">
      <w:pPr>
        <w:pStyle w:val="af"/>
      </w:pPr>
      <w:r>
        <w:t xml:space="preserve">– </w:t>
      </w:r>
      <w:r w:rsidR="004F5BF6" w:rsidRPr="005F1178">
        <w:t>Для МСБ характерен высокий уровень убыточности. В первую очередь это связано с тем, что клиент не в состоянии потратить достаточные средства для превентивных мер. Абсолютное большинство складов, например, не оборудован</w:t>
      </w:r>
      <w:r>
        <w:t>о</w:t>
      </w:r>
      <w:r w:rsidR="004F5BF6" w:rsidRPr="005F1178">
        <w:t xml:space="preserve"> автоматическими системами оповещения о пожаре. Либо, еще один характерный пример, в магазине есть ручная пожарная сигнализация, но охрана не круглосуточная. Все эти факторы существенно увеличивают риск тотальной гибели имущества. На убыточность влияет и большая изношенность фондов. Часто у клиента элементарно не хватает денег на капремонт. </w:t>
      </w:r>
    </w:p>
    <w:p w:rsidR="004F5BF6" w:rsidRPr="005F1178" w:rsidRDefault="004F5BF6" w:rsidP="004F5BF6">
      <w:pPr>
        <w:pStyle w:val="af"/>
      </w:pPr>
      <w:r w:rsidRPr="005F1178">
        <w:t xml:space="preserve">Стоит упомянуть и такой фактор, как мошенничество, довольно широко распространенное, например, при страховании спецтехники. Для погашения кредита </w:t>
      </w:r>
      <w:r w:rsidRPr="005F1178">
        <w:lastRenderedPageBreak/>
        <w:t xml:space="preserve">предприниматель намеренно уничтожает застрахованное имущество в залоге или лизинге, для того чтобы получить деньги от страховой компании. Значительна убыточность и в сегменте страхования гражданской ответственности перевозчиков. Данный </w:t>
      </w:r>
      <w:proofErr w:type="gramStart"/>
      <w:r w:rsidRPr="005F1178">
        <w:t>вид</w:t>
      </w:r>
      <w:proofErr w:type="gramEnd"/>
      <w:r w:rsidRPr="005F1178">
        <w:t xml:space="preserve"> по сути близок к автострахованию, где частота страховых случаев и потенциальный размер ущерба априори наход</w:t>
      </w:r>
      <w:r w:rsidR="000602A0">
        <w:t>я</w:t>
      </w:r>
      <w:r w:rsidRPr="005F1178">
        <w:t>тся на высоком  уровне.</w:t>
      </w:r>
      <w:r w:rsidRPr="005F1178">
        <w:br/>
        <w:t xml:space="preserve">Важен, в том числе и психологический момент, когда клиент знает, что застрахован, и относится более халатно к своему имуществу, мол «всё равно </w:t>
      </w:r>
      <w:proofErr w:type="gramStart"/>
      <w:r w:rsidRPr="005F1178">
        <w:t>страховая</w:t>
      </w:r>
      <w:proofErr w:type="gramEnd"/>
      <w:r w:rsidRPr="005F1178">
        <w:t xml:space="preserve"> всё покроет». </w:t>
      </w:r>
    </w:p>
    <w:p w:rsidR="004F5BF6" w:rsidRPr="005F1178" w:rsidRDefault="004F5BF6" w:rsidP="004F5BF6">
      <w:pPr>
        <w:pStyle w:val="af"/>
      </w:pPr>
      <w:r w:rsidRPr="005F1178">
        <w:t xml:space="preserve">В части сельскохозяйственного страхования, </w:t>
      </w:r>
      <w:r w:rsidR="000602A0">
        <w:t>судя по</w:t>
      </w:r>
      <w:r w:rsidRPr="005F1178">
        <w:t xml:space="preserve"> нашей практике, убыточность малого и среднего бизнеса невысокая. Здесь играет немаловажную роль</w:t>
      </w:r>
      <w:r w:rsidR="000602A0">
        <w:t xml:space="preserve"> тот факт</w:t>
      </w:r>
      <w:r w:rsidRPr="005F1178">
        <w:t xml:space="preserve">, что уход, охрана и обеспечение небольшого поголовья куда выше, чем на крупных предприятиях, которые настроены только на получение высокой прибыли </w:t>
      </w:r>
      <w:r w:rsidR="000602A0">
        <w:t>(</w:t>
      </w:r>
      <w:r w:rsidRPr="005F1178">
        <w:t>часто в ущерб сохранности</w:t>
      </w:r>
      <w:r w:rsidR="000602A0">
        <w:t>)</w:t>
      </w:r>
      <w:r w:rsidRPr="005F1178">
        <w:t xml:space="preserve">. </w:t>
      </w:r>
    </w:p>
    <w:p w:rsidR="004F5BF6" w:rsidRPr="005F1178" w:rsidRDefault="000602A0" w:rsidP="004F5BF6">
      <w:pPr>
        <w:pStyle w:val="af"/>
      </w:pPr>
      <w:r>
        <w:rPr>
          <w:b/>
          <w:bCs/>
        </w:rPr>
        <w:t xml:space="preserve">– </w:t>
      </w:r>
      <w:r w:rsidR="004F5BF6" w:rsidRPr="005F1178">
        <w:rPr>
          <w:b/>
          <w:bCs/>
        </w:rPr>
        <w:t xml:space="preserve">Каковы основные каналы продаж страховых продуктов для МСБ? </w:t>
      </w:r>
    </w:p>
    <w:p w:rsidR="004F5BF6" w:rsidRPr="005F1178" w:rsidRDefault="000602A0" w:rsidP="004F5BF6">
      <w:pPr>
        <w:pStyle w:val="af"/>
      </w:pPr>
      <w:r>
        <w:t xml:space="preserve">– </w:t>
      </w:r>
      <w:r w:rsidR="004F5BF6" w:rsidRPr="005F1178">
        <w:t xml:space="preserve">Это банки и лизинговые компании, которые требуют от своих клиентов застраховать передаваемое в залог либо находящееся в лизинге имущество для гарантии исполнения обязательств по договору. При добровольном страховании каналы продаж </w:t>
      </w:r>
      <w:r w:rsidR="006204A6">
        <w:t>–</w:t>
      </w:r>
      <w:r w:rsidR="004F5BF6" w:rsidRPr="005F1178">
        <w:t xml:space="preserve"> это агентские продажи, продажи штатными продавцами. </w:t>
      </w:r>
    </w:p>
    <w:p w:rsidR="004F5BF6" w:rsidRPr="005F1178" w:rsidRDefault="004F5BF6" w:rsidP="004F5BF6">
      <w:pPr>
        <w:pStyle w:val="af"/>
      </w:pPr>
      <w:r w:rsidRPr="005F1178">
        <w:t>Брокеры редко занимаются сегментом МСБ из-за  небольших итоговых премий по договорам страхования и</w:t>
      </w:r>
      <w:r w:rsidR="006204A6">
        <w:t>,</w:t>
      </w:r>
      <w:r w:rsidRPr="005F1178">
        <w:t xml:space="preserve"> как следствие, </w:t>
      </w:r>
      <w:r w:rsidR="006204A6">
        <w:t>из-за</w:t>
      </w:r>
      <w:r w:rsidRPr="005F1178">
        <w:t xml:space="preserve"> небольшо</w:t>
      </w:r>
      <w:r w:rsidR="006204A6">
        <w:t>го</w:t>
      </w:r>
      <w:r w:rsidRPr="005F1178">
        <w:t xml:space="preserve"> комиссионного вознаграждения. Возможно, и по причине того, что в большинстве случае условия страхования стандартизированы для таких клиентов. </w:t>
      </w:r>
    </w:p>
    <w:p w:rsidR="004F5BF6" w:rsidRPr="005F1178" w:rsidRDefault="006204A6" w:rsidP="004F5BF6">
      <w:pPr>
        <w:pStyle w:val="af"/>
      </w:pPr>
      <w:r>
        <w:rPr>
          <w:b/>
          <w:bCs/>
        </w:rPr>
        <w:t xml:space="preserve">– </w:t>
      </w:r>
      <w:r w:rsidR="004F5BF6" w:rsidRPr="005F1178">
        <w:rPr>
          <w:b/>
          <w:bCs/>
        </w:rPr>
        <w:t xml:space="preserve">Какие ниши страхования МСБ будут, по </w:t>
      </w:r>
      <w:r>
        <w:rPr>
          <w:b/>
          <w:bCs/>
        </w:rPr>
        <w:t>в</w:t>
      </w:r>
      <w:r w:rsidR="004F5BF6" w:rsidRPr="005F1178">
        <w:rPr>
          <w:b/>
          <w:bCs/>
        </w:rPr>
        <w:t xml:space="preserve">ашему мнению, наиболее привлекательными в ближайшие годы? </w:t>
      </w:r>
    </w:p>
    <w:p w:rsidR="004F5BF6" w:rsidRPr="005F1178" w:rsidRDefault="006204A6" w:rsidP="004F5BF6">
      <w:pPr>
        <w:pStyle w:val="af"/>
      </w:pPr>
      <w:r>
        <w:t xml:space="preserve">– </w:t>
      </w:r>
      <w:r w:rsidR="004F5BF6" w:rsidRPr="005F1178">
        <w:t>Почти со стопроцентной уверенностью могу сказать</w:t>
      </w:r>
      <w:r>
        <w:t>, что это будет</w:t>
      </w:r>
      <w:r w:rsidR="004F5BF6" w:rsidRPr="005F1178">
        <w:t xml:space="preserve"> страхование имущества. В части страхования гражданской ответственности – рестораны, кафе, клубы </w:t>
      </w:r>
      <w:r>
        <w:t>–</w:t>
      </w:r>
      <w:r w:rsidR="004F5BF6" w:rsidRPr="005F1178">
        <w:t xml:space="preserve"> все</w:t>
      </w:r>
      <w:proofErr w:type="gramStart"/>
      <w:r w:rsidR="004F5BF6" w:rsidRPr="005F1178">
        <w:t xml:space="preserve"> ,</w:t>
      </w:r>
      <w:proofErr w:type="gramEnd"/>
      <w:r w:rsidR="004F5BF6" w:rsidRPr="005F1178">
        <w:t xml:space="preserve">что предполагает массовое скопление людей. </w:t>
      </w:r>
    </w:p>
    <w:p w:rsidR="004F5BF6" w:rsidRPr="005F1178" w:rsidRDefault="004F5BF6" w:rsidP="004F5BF6">
      <w:pPr>
        <w:jc w:val="both"/>
        <w:rPr>
          <w:rFonts w:ascii="Times New Roman" w:hAnsi="Times New Roman" w:cs="Times New Roman"/>
          <w:b/>
          <w:bCs/>
          <w:sz w:val="24"/>
          <w:szCs w:val="24"/>
        </w:rPr>
      </w:pPr>
      <w:r w:rsidRPr="005F1178">
        <w:rPr>
          <w:rFonts w:ascii="Times New Roman" w:hAnsi="Times New Roman" w:cs="Times New Roman"/>
          <w:b/>
          <w:sz w:val="24"/>
          <w:szCs w:val="24"/>
        </w:rPr>
        <w:t>Интервью с Андреем Мартьяновым, исполнительным директором СК «МАКС»</w:t>
      </w:r>
    </w:p>
    <w:p w:rsidR="004F5BF6" w:rsidRPr="005F1178" w:rsidRDefault="006204A6" w:rsidP="0080651F">
      <w:pPr>
        <w:spacing w:after="240" w:line="240" w:lineRule="auto"/>
        <w:ind w:left="720"/>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Какие страховые продукты наиболее востребованы малым и средним бизнесом (МСБ)? Какая доля взносов приходится на страхование залогов?</w:t>
      </w:r>
    </w:p>
    <w:p w:rsidR="004F5BF6" w:rsidRPr="005F1178" w:rsidRDefault="00B851B7" w:rsidP="004F5BF6">
      <w:pPr>
        <w:spacing w:after="240"/>
        <w:ind w:left="360"/>
        <w:jc w:val="both"/>
        <w:rPr>
          <w:rStyle w:val="apple-style-span"/>
          <w:rFonts w:ascii="Arial" w:hAnsi="Arial" w:cs="Arial"/>
          <w:sz w:val="20"/>
          <w:szCs w:val="20"/>
        </w:rPr>
      </w:pPr>
      <w:r>
        <w:rPr>
          <w:rStyle w:val="apple-style-span"/>
          <w:rFonts w:ascii="Arial" w:hAnsi="Arial" w:cs="Arial"/>
          <w:sz w:val="20"/>
          <w:szCs w:val="20"/>
        </w:rPr>
        <w:t xml:space="preserve">– </w:t>
      </w:r>
      <w:r w:rsidR="004F5BF6" w:rsidRPr="005F1178">
        <w:rPr>
          <w:rStyle w:val="apple-style-span"/>
          <w:rFonts w:ascii="Arial" w:hAnsi="Arial" w:cs="Arial"/>
          <w:sz w:val="20"/>
          <w:szCs w:val="20"/>
        </w:rPr>
        <w:t>Наиболее востребованы продукты по страхованию движимого и недвижимого имущества, жизни и здоровья собственников юридических лиц, в меньшей степени –</w:t>
      </w:r>
      <w:r>
        <w:rPr>
          <w:rStyle w:val="apple-style-span"/>
          <w:rFonts w:ascii="Arial" w:hAnsi="Arial" w:cs="Arial"/>
          <w:sz w:val="20"/>
          <w:szCs w:val="20"/>
        </w:rPr>
        <w:t xml:space="preserve"> по страхованию</w:t>
      </w:r>
      <w:r w:rsidR="004F5BF6" w:rsidRPr="005F1178">
        <w:rPr>
          <w:rStyle w:val="apple-style-span"/>
          <w:rFonts w:ascii="Arial" w:hAnsi="Arial" w:cs="Arial"/>
          <w:sz w:val="20"/>
          <w:szCs w:val="20"/>
        </w:rPr>
        <w:t xml:space="preserve"> их ответственност</w:t>
      </w:r>
      <w:r>
        <w:rPr>
          <w:rStyle w:val="apple-style-span"/>
          <w:rFonts w:ascii="Arial" w:hAnsi="Arial" w:cs="Arial"/>
          <w:sz w:val="20"/>
          <w:szCs w:val="20"/>
        </w:rPr>
        <w:t>и</w:t>
      </w:r>
      <w:r w:rsidR="004F5BF6" w:rsidRPr="005F1178">
        <w:rPr>
          <w:rStyle w:val="apple-style-span"/>
          <w:rFonts w:ascii="Arial" w:hAnsi="Arial" w:cs="Arial"/>
          <w:sz w:val="20"/>
          <w:szCs w:val="20"/>
        </w:rPr>
        <w:t>. Наибольшая часть договоров касается обеспечения обязательств по кредитам в банке, то есть, по сути,  является вмененной услугой.</w:t>
      </w:r>
      <w:r w:rsidR="004F5BF6" w:rsidRPr="005F1178">
        <w:rPr>
          <w:rStyle w:val="apple-converted-space"/>
          <w:rFonts w:ascii="Arial" w:hAnsi="Arial" w:cs="Arial"/>
          <w:sz w:val="20"/>
          <w:szCs w:val="20"/>
        </w:rPr>
        <w:t xml:space="preserve"> </w:t>
      </w:r>
      <w:r w:rsidR="004F5BF6" w:rsidRPr="005F1178">
        <w:rPr>
          <w:rStyle w:val="apple-style-span"/>
          <w:rFonts w:ascii="Arial" w:hAnsi="Arial" w:cs="Arial"/>
          <w:sz w:val="20"/>
          <w:szCs w:val="20"/>
        </w:rPr>
        <w:t xml:space="preserve">Это делает сотрудничество с банками одним из наиболее эффективных каналов продаж для страховщиков. Крупные заемщики пользуются преференциями при получении кредита, могут рассчитывать на </w:t>
      </w:r>
      <w:proofErr w:type="spellStart"/>
      <w:r w:rsidR="004F5BF6" w:rsidRPr="005F1178">
        <w:rPr>
          <w:rStyle w:val="apple-style-span"/>
          <w:rFonts w:ascii="Arial" w:hAnsi="Arial" w:cs="Arial"/>
          <w:sz w:val="20"/>
          <w:szCs w:val="20"/>
        </w:rPr>
        <w:t>беззалоговое</w:t>
      </w:r>
      <w:proofErr w:type="spellEnd"/>
      <w:r w:rsidR="004F5BF6" w:rsidRPr="005F1178">
        <w:rPr>
          <w:rStyle w:val="apple-style-span"/>
          <w:rFonts w:ascii="Arial" w:hAnsi="Arial" w:cs="Arial"/>
          <w:sz w:val="20"/>
          <w:szCs w:val="20"/>
        </w:rPr>
        <w:t xml:space="preserve"> </w:t>
      </w:r>
      <w:r w:rsidR="00007A26" w:rsidRPr="005F1178">
        <w:rPr>
          <w:rStyle w:val="apple-style-span"/>
          <w:rFonts w:ascii="Arial" w:hAnsi="Arial" w:cs="Arial"/>
          <w:sz w:val="20"/>
          <w:szCs w:val="20"/>
        </w:rPr>
        <w:t>кредитование,</w:t>
      </w:r>
      <w:r w:rsidR="004F5BF6" w:rsidRPr="005F1178">
        <w:rPr>
          <w:rStyle w:val="apple-style-span"/>
          <w:rFonts w:ascii="Arial" w:hAnsi="Arial" w:cs="Arial"/>
          <w:sz w:val="20"/>
          <w:szCs w:val="20"/>
        </w:rPr>
        <w:t xml:space="preserve"> а в сегменте МСБ банки начинают более активно использовать страхование как обеспечение </w:t>
      </w:r>
      <w:r w:rsidR="00007A26" w:rsidRPr="005F1178">
        <w:rPr>
          <w:rStyle w:val="apple-style-span"/>
          <w:rFonts w:ascii="Arial" w:hAnsi="Arial" w:cs="Arial"/>
          <w:sz w:val="20"/>
          <w:szCs w:val="20"/>
        </w:rPr>
        <w:t xml:space="preserve">сохранности </w:t>
      </w:r>
      <w:r w:rsidR="004F5BF6" w:rsidRPr="005F1178">
        <w:rPr>
          <w:rStyle w:val="apple-style-span"/>
          <w:rFonts w:ascii="Arial" w:hAnsi="Arial" w:cs="Arial"/>
          <w:sz w:val="20"/>
          <w:szCs w:val="20"/>
        </w:rPr>
        <w:t xml:space="preserve">залогов. В средних по оборотам компаниях страхование имущественных рисков, грузов и разного рода ответственности востребовано больше, чем в крупном бизнесе. </w:t>
      </w:r>
    </w:p>
    <w:p w:rsidR="004F5BF6" w:rsidRPr="005F1178" w:rsidRDefault="003D3674" w:rsidP="004F5BF6">
      <w:pPr>
        <w:spacing w:after="240"/>
        <w:ind w:left="360"/>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 xml:space="preserve">Как бы </w:t>
      </w:r>
      <w:r>
        <w:rPr>
          <w:rFonts w:ascii="Arial" w:hAnsi="Arial" w:cs="Arial"/>
          <w:b/>
          <w:sz w:val="20"/>
          <w:szCs w:val="20"/>
        </w:rPr>
        <w:t>в</w:t>
      </w:r>
      <w:r w:rsidR="004F5BF6" w:rsidRPr="005F1178">
        <w:rPr>
          <w:rFonts w:ascii="Arial" w:hAnsi="Arial" w:cs="Arial"/>
          <w:b/>
          <w:sz w:val="20"/>
          <w:szCs w:val="20"/>
        </w:rPr>
        <w:t>ы оценили уровень выплат и убыточность (с учетом изменения резервов) при работе с МСБ?</w:t>
      </w:r>
    </w:p>
    <w:p w:rsidR="004F5BF6" w:rsidRPr="005F1178" w:rsidRDefault="003D3674" w:rsidP="004F5BF6">
      <w:pPr>
        <w:spacing w:after="240"/>
        <w:ind w:left="360"/>
        <w:jc w:val="both"/>
        <w:rPr>
          <w:rFonts w:ascii="Arial" w:hAnsi="Arial" w:cs="Arial"/>
          <w:b/>
          <w:sz w:val="20"/>
          <w:szCs w:val="20"/>
        </w:rPr>
      </w:pPr>
      <w:r>
        <w:rPr>
          <w:rFonts w:ascii="Arial" w:hAnsi="Arial" w:cs="Arial"/>
          <w:sz w:val="20"/>
          <w:szCs w:val="20"/>
        </w:rPr>
        <w:lastRenderedPageBreak/>
        <w:t xml:space="preserve">– </w:t>
      </w:r>
      <w:r w:rsidR="004F5BF6" w:rsidRPr="005F1178">
        <w:rPr>
          <w:rFonts w:ascii="Arial" w:hAnsi="Arial" w:cs="Arial"/>
          <w:sz w:val="20"/>
          <w:szCs w:val="20"/>
        </w:rPr>
        <w:t>Уровень выплат и убыточность зависят от вида страхования. По убыточности в каско клиенты МСБ занимают промежуточное положение между физическими лицами и парками корпоративных клиентов.</w:t>
      </w:r>
    </w:p>
    <w:p w:rsidR="004F5BF6" w:rsidRPr="005F1178" w:rsidRDefault="004F5BF6" w:rsidP="004F5BF6">
      <w:pPr>
        <w:spacing w:after="240"/>
        <w:ind w:left="360"/>
        <w:jc w:val="both"/>
        <w:rPr>
          <w:rFonts w:ascii="Arial" w:hAnsi="Arial" w:cs="Arial"/>
          <w:b/>
          <w:sz w:val="20"/>
          <w:szCs w:val="20"/>
        </w:rPr>
      </w:pPr>
      <w:r w:rsidRPr="005F1178">
        <w:rPr>
          <w:rFonts w:ascii="Arial" w:hAnsi="Arial" w:cs="Arial"/>
          <w:sz w:val="20"/>
          <w:szCs w:val="20"/>
        </w:rPr>
        <w:t>По страхованию имущества убыточность несколько выше, чем при страховании промышленных объектов, т.</w:t>
      </w:r>
      <w:r w:rsidR="003D3674">
        <w:rPr>
          <w:rFonts w:ascii="Arial" w:hAnsi="Arial" w:cs="Arial"/>
          <w:sz w:val="20"/>
          <w:szCs w:val="20"/>
        </w:rPr>
        <w:t xml:space="preserve"> </w:t>
      </w:r>
      <w:r w:rsidRPr="005F1178">
        <w:rPr>
          <w:rFonts w:ascii="Arial" w:hAnsi="Arial" w:cs="Arial"/>
          <w:sz w:val="20"/>
          <w:szCs w:val="20"/>
        </w:rPr>
        <w:t>к. в сегменте МСБ объекты страхования – это в большей степени ТМЦ, торговые или офисные помещения с отделкой, по которым убытки нередки.</w:t>
      </w:r>
    </w:p>
    <w:p w:rsidR="004F5BF6" w:rsidRPr="005F1178" w:rsidRDefault="003D3674" w:rsidP="004F5BF6">
      <w:pPr>
        <w:spacing w:after="240"/>
        <w:ind w:left="360"/>
        <w:jc w:val="both"/>
        <w:rPr>
          <w:rFonts w:ascii="Arial" w:hAnsi="Arial" w:cs="Arial"/>
          <w:b/>
          <w:sz w:val="20"/>
          <w:szCs w:val="20"/>
        </w:rPr>
      </w:pPr>
      <w:r>
        <w:rPr>
          <w:rFonts w:ascii="Arial" w:hAnsi="Arial" w:cs="Arial"/>
          <w:b/>
          <w:sz w:val="20"/>
          <w:szCs w:val="20"/>
        </w:rPr>
        <w:t xml:space="preserve">– </w:t>
      </w:r>
      <w:r w:rsidR="004F5BF6" w:rsidRPr="005F1178">
        <w:rPr>
          <w:rFonts w:ascii="Arial" w:hAnsi="Arial" w:cs="Arial"/>
          <w:b/>
          <w:sz w:val="20"/>
          <w:szCs w:val="20"/>
        </w:rPr>
        <w:t>Каковы основные каналы продаж страховых продуктов для МСБ?</w:t>
      </w:r>
    </w:p>
    <w:p w:rsidR="004F5BF6" w:rsidRPr="005F1178" w:rsidRDefault="003D3674" w:rsidP="004F5BF6">
      <w:pPr>
        <w:spacing w:after="240"/>
        <w:ind w:left="360"/>
        <w:jc w:val="both"/>
        <w:rPr>
          <w:rFonts w:ascii="Arial" w:hAnsi="Arial" w:cs="Arial"/>
          <w:b/>
          <w:sz w:val="20"/>
          <w:szCs w:val="20"/>
        </w:rPr>
      </w:pPr>
      <w:r>
        <w:rPr>
          <w:rStyle w:val="apple-style-span"/>
          <w:rFonts w:ascii="Arial" w:hAnsi="Arial" w:cs="Arial"/>
          <w:sz w:val="20"/>
          <w:szCs w:val="20"/>
        </w:rPr>
        <w:t xml:space="preserve">– </w:t>
      </w:r>
      <w:r w:rsidR="004F5BF6" w:rsidRPr="005F1178">
        <w:rPr>
          <w:rStyle w:val="apple-style-span"/>
          <w:rFonts w:ascii="Arial" w:hAnsi="Arial" w:cs="Arial"/>
          <w:sz w:val="20"/>
          <w:szCs w:val="20"/>
        </w:rPr>
        <w:t xml:space="preserve">Наличие развитой региональной сети и современные информационные технологии </w:t>
      </w:r>
      <w:r w:rsidR="00512E40">
        <w:rPr>
          <w:rStyle w:val="apple-style-span"/>
          <w:rFonts w:ascii="Arial" w:hAnsi="Arial" w:cs="Arial"/>
          <w:sz w:val="20"/>
          <w:szCs w:val="20"/>
        </w:rPr>
        <w:t>–</w:t>
      </w:r>
      <w:r w:rsidR="004F5BF6" w:rsidRPr="005F1178">
        <w:rPr>
          <w:rStyle w:val="apple-style-span"/>
          <w:rFonts w:ascii="Arial" w:hAnsi="Arial" w:cs="Arial"/>
          <w:sz w:val="20"/>
          <w:szCs w:val="20"/>
        </w:rPr>
        <w:t xml:space="preserve"> составляющие успеха. Чем больше каналов продаж, тем выше уровень охвата рынка. Основными каналами здесь могут выступать партнерство с банками, кредитующими малый и средний бизнес, взаимодействие с лизинговыми компаниями, прямые продажи. </w:t>
      </w:r>
    </w:p>
    <w:p w:rsidR="004F5BF6" w:rsidRPr="005F1178" w:rsidRDefault="00512E40" w:rsidP="004F5BF6">
      <w:pPr>
        <w:spacing w:after="240"/>
        <w:jc w:val="both"/>
        <w:rPr>
          <w:rFonts w:ascii="Arial" w:hAnsi="Arial" w:cs="Arial"/>
          <w:b/>
          <w:sz w:val="20"/>
          <w:szCs w:val="20"/>
        </w:rPr>
      </w:pPr>
      <w:r>
        <w:rPr>
          <w:rFonts w:ascii="Arial" w:hAnsi="Arial" w:cs="Arial"/>
          <w:sz w:val="20"/>
          <w:szCs w:val="20"/>
        </w:rPr>
        <w:t xml:space="preserve">– </w:t>
      </w:r>
      <w:r w:rsidR="004F5BF6" w:rsidRPr="005F1178">
        <w:rPr>
          <w:rFonts w:ascii="Arial" w:hAnsi="Arial" w:cs="Arial"/>
          <w:b/>
          <w:sz w:val="20"/>
          <w:szCs w:val="20"/>
        </w:rPr>
        <w:t xml:space="preserve">Какие ниши страхования МСБ будут, по </w:t>
      </w:r>
      <w:r>
        <w:rPr>
          <w:rFonts w:ascii="Arial" w:hAnsi="Arial" w:cs="Arial"/>
          <w:b/>
          <w:sz w:val="20"/>
          <w:szCs w:val="20"/>
        </w:rPr>
        <w:t>в</w:t>
      </w:r>
      <w:r w:rsidR="004F5BF6" w:rsidRPr="005F1178">
        <w:rPr>
          <w:rFonts w:ascii="Arial" w:hAnsi="Arial" w:cs="Arial"/>
          <w:b/>
          <w:sz w:val="20"/>
          <w:szCs w:val="20"/>
        </w:rPr>
        <w:t>ашему мнению, наиболее привлекательными в ближайшие годы?</w:t>
      </w:r>
    </w:p>
    <w:p w:rsidR="004F5BF6" w:rsidRPr="005F1178" w:rsidRDefault="00512E40" w:rsidP="004F5BF6">
      <w:pPr>
        <w:spacing w:after="240"/>
        <w:jc w:val="both"/>
        <w:rPr>
          <w:rStyle w:val="apple-style-span"/>
          <w:rFonts w:ascii="Arial" w:hAnsi="Arial" w:cs="Arial"/>
          <w:b/>
          <w:sz w:val="20"/>
          <w:szCs w:val="20"/>
        </w:rPr>
      </w:pPr>
      <w:r>
        <w:rPr>
          <w:rStyle w:val="apple-style-span"/>
          <w:rFonts w:ascii="Arial" w:hAnsi="Arial" w:cs="Arial"/>
          <w:sz w:val="20"/>
          <w:szCs w:val="20"/>
        </w:rPr>
        <w:t xml:space="preserve">– </w:t>
      </w:r>
      <w:r w:rsidR="004F5BF6" w:rsidRPr="005F1178">
        <w:rPr>
          <w:rStyle w:val="apple-style-span"/>
          <w:rFonts w:ascii="Arial" w:hAnsi="Arial" w:cs="Arial"/>
          <w:sz w:val="20"/>
          <w:szCs w:val="20"/>
        </w:rPr>
        <w:t xml:space="preserve">Ранее основной объем взносов в страховании МСБ приходился на вмененное страхование </w:t>
      </w:r>
      <w:r>
        <w:rPr>
          <w:rStyle w:val="apple-style-span"/>
          <w:rFonts w:ascii="Arial" w:hAnsi="Arial" w:cs="Arial"/>
          <w:sz w:val="20"/>
          <w:szCs w:val="20"/>
        </w:rPr>
        <w:t>–</w:t>
      </w:r>
      <w:r w:rsidR="004F5BF6" w:rsidRPr="005F1178">
        <w:rPr>
          <w:rStyle w:val="apple-style-span"/>
          <w:rFonts w:ascii="Arial" w:hAnsi="Arial" w:cs="Arial"/>
          <w:sz w:val="20"/>
          <w:szCs w:val="20"/>
        </w:rPr>
        <w:t>  страхование залогового имущества при кредитовании. Добровольные виды развивались значительно слабее. Однако сейчас тенденция меняется. Так, например, при кредитовании МСБ одним из обеспечений является собственность основного владельца бизнеса или его личное поручительство.</w:t>
      </w:r>
      <w:r w:rsidR="004F5BF6" w:rsidRPr="005F1178">
        <w:rPr>
          <w:rStyle w:val="apple-converted-space"/>
          <w:rFonts w:ascii="Arial" w:hAnsi="Arial" w:cs="Arial"/>
          <w:sz w:val="20"/>
          <w:szCs w:val="20"/>
        </w:rPr>
        <w:t> </w:t>
      </w:r>
      <w:r w:rsidR="004F5BF6" w:rsidRPr="005F1178">
        <w:rPr>
          <w:rStyle w:val="apple-style-span"/>
          <w:rFonts w:ascii="Arial" w:hAnsi="Arial" w:cs="Arial"/>
          <w:sz w:val="20"/>
          <w:szCs w:val="20"/>
        </w:rPr>
        <w:t xml:space="preserve">Таким образом, в последнее время предложения по страхованию жизни и здоровья заемщика переносятся и в кредитование МСБ. </w:t>
      </w:r>
    </w:p>
    <w:p w:rsidR="004F5BF6" w:rsidRPr="005F1178" w:rsidRDefault="004F5BF6" w:rsidP="004F5BF6">
      <w:pPr>
        <w:spacing w:after="240"/>
        <w:jc w:val="both"/>
        <w:rPr>
          <w:rFonts w:ascii="Arial" w:hAnsi="Arial" w:cs="Arial"/>
          <w:b/>
          <w:sz w:val="20"/>
          <w:szCs w:val="20"/>
        </w:rPr>
      </w:pPr>
      <w:r w:rsidRPr="005F1178">
        <w:rPr>
          <w:rStyle w:val="apple-style-span"/>
          <w:rFonts w:ascii="Arial" w:hAnsi="Arial" w:cs="Arial"/>
          <w:sz w:val="20"/>
          <w:szCs w:val="20"/>
        </w:rPr>
        <w:t>Наиболее перспективным направлением развития данного канала является разработка специальных страховых продуктов, нацеленных на клиентов МСБ. Мы достаточно далеко продвинулись в партнерстве с некоторыми банками, инвестировав в программы B2B, обучение сотрудников банков и собственного персонала для работы в этом сегменте.</w:t>
      </w:r>
    </w:p>
    <w:p w:rsidR="004F5BF6" w:rsidRPr="005F1178" w:rsidRDefault="004F5BF6">
      <w:pPr>
        <w:rPr>
          <w:rFonts w:ascii="Times New Roman" w:hAnsi="Times New Roman" w:cs="Times New Roman"/>
          <w:b/>
          <w:sz w:val="24"/>
          <w:szCs w:val="24"/>
        </w:rPr>
      </w:pPr>
      <w:r w:rsidRPr="005F1178">
        <w:rPr>
          <w:rFonts w:ascii="Times New Roman" w:hAnsi="Times New Roman" w:cs="Times New Roman"/>
          <w:b/>
          <w:sz w:val="24"/>
          <w:szCs w:val="24"/>
        </w:rPr>
        <w:br w:type="page"/>
      </w:r>
    </w:p>
    <w:p w:rsidR="00356A88" w:rsidRPr="005F1178" w:rsidRDefault="00356A88" w:rsidP="00356A88">
      <w:pPr>
        <w:pStyle w:val="1"/>
        <w:jc w:val="both"/>
      </w:pPr>
      <w:bookmarkStart w:id="14" w:name="_Toc352162055"/>
      <w:r w:rsidRPr="005F1178">
        <w:lastRenderedPageBreak/>
        <w:t xml:space="preserve">ПРИЛОЖЕНИЕ 2. </w:t>
      </w:r>
      <w:proofErr w:type="spellStart"/>
      <w:r w:rsidRPr="005F1178">
        <w:t>Рэнкинги</w:t>
      </w:r>
      <w:bookmarkEnd w:id="14"/>
      <w:proofErr w:type="spellEnd"/>
      <w:r w:rsidR="00E414DA">
        <w:t xml:space="preserve"> банков, кредитующих МСБ</w:t>
      </w:r>
    </w:p>
    <w:p w:rsidR="008D177B" w:rsidRPr="005F1178" w:rsidRDefault="008D177B" w:rsidP="008D177B">
      <w:pPr>
        <w:jc w:val="center"/>
        <w:rPr>
          <w:b/>
        </w:rPr>
      </w:pPr>
      <w:r w:rsidRPr="005F1178">
        <w:rPr>
          <w:b/>
        </w:rPr>
        <w:t xml:space="preserve">Таблица 1. </w:t>
      </w:r>
      <w:proofErr w:type="spellStart"/>
      <w:r w:rsidRPr="005F1178">
        <w:rPr>
          <w:b/>
        </w:rPr>
        <w:t>Рэнкинг</w:t>
      </w:r>
      <w:proofErr w:type="spellEnd"/>
      <w:r w:rsidRPr="005F1178">
        <w:rPr>
          <w:b/>
        </w:rPr>
        <w:t xml:space="preserve"> по объемам выдач кредитов МСБ по итогам 2012 года</w:t>
      </w:r>
    </w:p>
    <w:tbl>
      <w:tblPr>
        <w:tblW w:w="10819" w:type="dxa"/>
        <w:tblInd w:w="93" w:type="dxa"/>
        <w:tblLayout w:type="fixed"/>
        <w:tblLook w:val="04A0" w:firstRow="1" w:lastRow="0" w:firstColumn="1" w:lastColumn="0" w:noHBand="0" w:noVBand="1"/>
      </w:tblPr>
      <w:tblGrid>
        <w:gridCol w:w="866"/>
        <w:gridCol w:w="709"/>
        <w:gridCol w:w="3685"/>
        <w:gridCol w:w="1276"/>
        <w:gridCol w:w="1276"/>
        <w:gridCol w:w="1134"/>
        <w:gridCol w:w="1873"/>
      </w:tblGrid>
      <w:tr w:rsidR="00330D46" w:rsidRPr="005F1178" w:rsidTr="00C52690">
        <w:trPr>
          <w:trHeight w:val="20"/>
        </w:trPr>
        <w:tc>
          <w:tcPr>
            <w:tcW w:w="866"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Место по итогам 2012 года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 xml:space="preserve">№ лицензии </w:t>
            </w:r>
            <w:r w:rsidR="00512E40">
              <w:rPr>
                <w:rFonts w:ascii="Times New Roman" w:eastAsia="Times New Roman" w:hAnsi="Times New Roman"/>
                <w:b/>
                <w:bCs/>
                <w:color w:val="000000"/>
                <w:sz w:val="20"/>
                <w:szCs w:val="20"/>
                <w:lang w:eastAsia="ru-RU"/>
              </w:rPr>
              <w:t>б</w:t>
            </w:r>
            <w:r w:rsidRPr="005F1178">
              <w:rPr>
                <w:rFonts w:ascii="Times New Roman" w:eastAsia="Times New Roman" w:hAnsi="Times New Roman"/>
                <w:b/>
                <w:bCs/>
                <w:color w:val="000000"/>
                <w:sz w:val="20"/>
                <w:szCs w:val="20"/>
                <w:lang w:eastAsia="ru-RU"/>
              </w:rPr>
              <w:t>анка</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Банк</w:t>
            </w:r>
          </w:p>
        </w:tc>
        <w:tc>
          <w:tcPr>
            <w:tcW w:w="2552" w:type="dxa"/>
            <w:gridSpan w:val="2"/>
            <w:tcBorders>
              <w:top w:val="single" w:sz="4" w:space="0" w:color="auto"/>
              <w:left w:val="nil"/>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 xml:space="preserve">Объем кредитов, выданных МСБ, </w:t>
            </w:r>
            <w:proofErr w:type="gramStart"/>
            <w:r w:rsidRPr="005F1178">
              <w:rPr>
                <w:rFonts w:ascii="Times New Roman" w:eastAsia="Times New Roman" w:hAnsi="Times New Roman"/>
                <w:b/>
                <w:bCs/>
                <w:color w:val="000000"/>
                <w:sz w:val="20"/>
                <w:szCs w:val="20"/>
                <w:lang w:eastAsia="ru-RU"/>
              </w:rPr>
              <w:t>млн</w:t>
            </w:r>
            <w:proofErr w:type="gramEnd"/>
            <w:r w:rsidRPr="005F1178">
              <w:rPr>
                <w:rFonts w:ascii="Times New Roman" w:eastAsia="Times New Roman" w:hAnsi="Times New Roman"/>
                <w:b/>
                <w:bCs/>
                <w:color w:val="000000"/>
                <w:sz w:val="20"/>
                <w:szCs w:val="20"/>
                <w:lang w:eastAsia="ru-RU"/>
              </w:rPr>
              <w:t xml:space="preserve"> руб</w:t>
            </w:r>
            <w:r w:rsidR="00512E40">
              <w:rPr>
                <w:rFonts w:ascii="Times New Roman" w:eastAsia="Times New Roman" w:hAnsi="Times New Roman"/>
                <w:b/>
                <w:bCs/>
                <w:color w:val="000000"/>
                <w:sz w:val="20"/>
                <w:szCs w:val="20"/>
                <w:lang w:eastAsia="ru-RU"/>
              </w:rPr>
              <w:t>лей</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Темп прироста</w:t>
            </w:r>
            <w:r w:rsidR="00512E40">
              <w:rPr>
                <w:rFonts w:ascii="Times New Roman" w:eastAsia="Times New Roman" w:hAnsi="Times New Roman"/>
                <w:b/>
                <w:bCs/>
                <w:color w:val="000000"/>
                <w:sz w:val="20"/>
                <w:szCs w:val="20"/>
                <w:lang w:eastAsia="ru-RU"/>
              </w:rPr>
              <w:t>,</w:t>
            </w:r>
            <w:r w:rsidRPr="005F1178">
              <w:rPr>
                <w:rFonts w:ascii="Times New Roman" w:eastAsia="Times New Roman" w:hAnsi="Times New Roman"/>
                <w:b/>
                <w:bCs/>
                <w:color w:val="000000"/>
                <w:sz w:val="20"/>
                <w:szCs w:val="20"/>
                <w:lang w:eastAsia="ru-RU"/>
              </w:rPr>
              <w:t xml:space="preserve"> 2012/2011, %</w:t>
            </w:r>
          </w:p>
        </w:tc>
        <w:tc>
          <w:tcPr>
            <w:tcW w:w="1873"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 xml:space="preserve">Рейтинг кредитоспособности </w:t>
            </w:r>
            <w:r w:rsidR="00512E40">
              <w:rPr>
                <w:rFonts w:ascii="Times New Roman" w:eastAsia="Times New Roman" w:hAnsi="Times New Roman"/>
                <w:b/>
                <w:bCs/>
                <w:color w:val="000000"/>
                <w:sz w:val="20"/>
                <w:szCs w:val="20"/>
                <w:lang w:eastAsia="ru-RU"/>
              </w:rPr>
              <w:t>«</w:t>
            </w:r>
            <w:r w:rsidRPr="005F1178">
              <w:rPr>
                <w:rFonts w:ascii="Times New Roman" w:eastAsia="Times New Roman" w:hAnsi="Times New Roman"/>
                <w:b/>
                <w:bCs/>
                <w:color w:val="000000"/>
                <w:sz w:val="20"/>
                <w:szCs w:val="20"/>
                <w:lang w:eastAsia="ru-RU"/>
              </w:rPr>
              <w:t>Эксперт</w:t>
            </w:r>
            <w:r w:rsidR="00512E40">
              <w:rPr>
                <w:rFonts w:ascii="Times New Roman" w:eastAsia="Times New Roman" w:hAnsi="Times New Roman"/>
                <w:b/>
                <w:bCs/>
                <w:color w:val="000000"/>
                <w:sz w:val="20"/>
                <w:szCs w:val="20"/>
                <w:lang w:eastAsia="ru-RU"/>
              </w:rPr>
              <w:t>а</w:t>
            </w:r>
            <w:r w:rsidRPr="005F1178">
              <w:rPr>
                <w:rFonts w:ascii="Times New Roman" w:eastAsia="Times New Roman" w:hAnsi="Times New Roman"/>
                <w:b/>
                <w:bCs/>
                <w:color w:val="000000"/>
                <w:sz w:val="20"/>
                <w:szCs w:val="20"/>
                <w:lang w:eastAsia="ru-RU"/>
              </w:rPr>
              <w:t xml:space="preserve"> РА</w:t>
            </w:r>
            <w:r w:rsidR="00512E40">
              <w:rPr>
                <w:rFonts w:ascii="Times New Roman" w:eastAsia="Times New Roman" w:hAnsi="Times New Roman"/>
                <w:b/>
                <w:bCs/>
                <w:color w:val="000000"/>
                <w:sz w:val="20"/>
                <w:szCs w:val="20"/>
                <w:lang w:eastAsia="ru-RU"/>
              </w:rPr>
              <w:t>»</w:t>
            </w:r>
          </w:p>
        </w:tc>
      </w:tr>
      <w:tr w:rsidR="00330D46" w:rsidRPr="005F1178" w:rsidTr="00C52690">
        <w:trPr>
          <w:trHeight w:val="2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330D46" w:rsidRPr="005F1178" w:rsidRDefault="00330D46" w:rsidP="00C52690">
            <w:pPr>
              <w:spacing w:after="0" w:line="240" w:lineRule="auto"/>
              <w:rPr>
                <w:rFonts w:ascii="Times New Roman" w:eastAsia="Times New Roman" w:hAnsi="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30D46" w:rsidRPr="005F1178" w:rsidRDefault="00330D46" w:rsidP="00C52690">
            <w:pPr>
              <w:spacing w:after="0" w:line="240" w:lineRule="auto"/>
              <w:rPr>
                <w:rFonts w:ascii="Times New Roman" w:eastAsia="Times New Roman" w:hAnsi="Times New Roman"/>
                <w:b/>
                <w:bCs/>
                <w:color w:val="000000"/>
                <w:sz w:val="20"/>
                <w:szCs w:val="20"/>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330D46" w:rsidRPr="005F1178" w:rsidRDefault="00330D46" w:rsidP="00C52690">
            <w:pPr>
              <w:spacing w:after="0" w:line="240" w:lineRule="auto"/>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2012</w:t>
            </w:r>
          </w:p>
        </w:tc>
        <w:tc>
          <w:tcPr>
            <w:tcW w:w="1276" w:type="dxa"/>
            <w:tcBorders>
              <w:top w:val="nil"/>
              <w:left w:val="nil"/>
              <w:bottom w:val="single" w:sz="4" w:space="0" w:color="auto"/>
              <w:right w:val="single" w:sz="4" w:space="0" w:color="auto"/>
            </w:tcBorders>
            <w:shd w:val="clear" w:color="000000" w:fill="C5D9F1"/>
            <w:vAlign w:val="center"/>
            <w:hideMark/>
          </w:tcPr>
          <w:p w:rsidR="00330D46" w:rsidRPr="005F1178" w:rsidRDefault="00330D46" w:rsidP="00C52690">
            <w:pPr>
              <w:spacing w:after="0" w:line="240" w:lineRule="auto"/>
              <w:jc w:val="center"/>
              <w:rPr>
                <w:rFonts w:ascii="Times New Roman" w:eastAsia="Times New Roman" w:hAnsi="Times New Roman"/>
                <w:b/>
                <w:bCs/>
                <w:color w:val="000000"/>
                <w:sz w:val="20"/>
                <w:szCs w:val="20"/>
                <w:lang w:eastAsia="ru-RU"/>
              </w:rPr>
            </w:pPr>
            <w:r w:rsidRPr="005F1178">
              <w:rPr>
                <w:rFonts w:ascii="Times New Roman" w:eastAsia="Times New Roman" w:hAnsi="Times New Roman"/>
                <w:b/>
                <w:bCs/>
                <w:color w:val="000000"/>
                <w:sz w:val="20"/>
                <w:szCs w:val="20"/>
                <w:lang w:eastAsia="ru-RU"/>
              </w:rPr>
              <w:t>2011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30D46" w:rsidRPr="005F1178" w:rsidRDefault="00330D46" w:rsidP="00C52690">
            <w:pPr>
              <w:spacing w:after="0" w:line="240" w:lineRule="auto"/>
              <w:rPr>
                <w:rFonts w:ascii="Times New Roman" w:eastAsia="Times New Roman" w:hAnsi="Times New Roman"/>
                <w:b/>
                <w:bCs/>
                <w:color w:val="000000"/>
                <w:sz w:val="20"/>
                <w:szCs w:val="20"/>
                <w:lang w:eastAsia="ru-RU"/>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330D46" w:rsidRPr="005F1178" w:rsidRDefault="00330D46" w:rsidP="00C52690">
            <w:pPr>
              <w:spacing w:after="0" w:line="240" w:lineRule="auto"/>
              <w:rPr>
                <w:rFonts w:ascii="Times New Roman" w:eastAsia="Times New Roman" w:hAnsi="Times New Roman"/>
                <w:b/>
                <w:bCs/>
                <w:color w:val="000000"/>
                <w:sz w:val="20"/>
                <w:szCs w:val="20"/>
                <w:lang w:eastAsia="ru-RU"/>
              </w:rPr>
            </w:pP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1481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Сбербанк России</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736 441 907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712 802 947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3251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Промсвязьбанк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390 629</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367 847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2275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УРАЛСИБ</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287 687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272 011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5,8</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1623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ВТБ 24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280 010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131 353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113,2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1439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 xml:space="preserve">Банк </w:t>
            </w:r>
            <w:r w:rsidR="00512E40">
              <w:rPr>
                <w:rFonts w:ascii="Times New Roman" w:eastAsia="Times New Roman" w:hAnsi="Times New Roman"/>
                <w:sz w:val="20"/>
                <w:szCs w:val="20"/>
                <w:lang w:eastAsia="ru-RU"/>
              </w:rPr>
              <w:t>«</w:t>
            </w:r>
            <w:r w:rsidRPr="005F1178">
              <w:rPr>
                <w:rFonts w:ascii="Times New Roman" w:eastAsia="Times New Roman" w:hAnsi="Times New Roman"/>
                <w:sz w:val="20"/>
                <w:szCs w:val="20"/>
                <w:lang w:eastAsia="ru-RU"/>
              </w:rPr>
              <w:t>Возрождение</w:t>
            </w:r>
            <w:r w:rsidR="00512E40">
              <w:rPr>
                <w:rFonts w:ascii="Times New Roman" w:eastAsia="Times New Roman" w:hAnsi="Times New Roman"/>
                <w:sz w:val="20"/>
                <w:szCs w:val="20"/>
                <w:lang w:eastAsia="ru-RU"/>
              </w:rPr>
              <w:t>»</w:t>
            </w:r>
            <w:r w:rsidRPr="005F1178">
              <w:rPr>
                <w:rFonts w:ascii="Times New Roman" w:eastAsia="Times New Roman" w:hAnsi="Times New Roman"/>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225 791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196 772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sz w:val="20"/>
                <w:szCs w:val="20"/>
                <w:lang w:eastAsia="ru-RU"/>
              </w:rPr>
            </w:pPr>
            <w:r w:rsidRPr="005F1178">
              <w:rPr>
                <w:rFonts w:ascii="Times New Roman" w:eastAsia="Times New Roman" w:hAnsi="Times New Roman"/>
                <w:sz w:val="20"/>
                <w:szCs w:val="20"/>
                <w:lang w:eastAsia="ru-RU"/>
              </w:rPr>
              <w:t>14,7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2748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Банк Москвы</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91 064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69 839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МИнБ</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77 521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73 653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2210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proofErr w:type="spellStart"/>
            <w:r w:rsidRPr="005F1178">
              <w:rPr>
                <w:rFonts w:ascii="Times New Roman" w:eastAsia="Times New Roman" w:hAnsi="Times New Roman"/>
                <w:color w:val="000000"/>
                <w:sz w:val="20"/>
                <w:szCs w:val="20"/>
                <w:lang w:eastAsia="ru-RU"/>
              </w:rPr>
              <w:t>Транскапиталбанк</w:t>
            </w:r>
            <w:proofErr w:type="spellEnd"/>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71 876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49 157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46,2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2763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Инвестторгбанк</w:t>
            </w:r>
            <w:proofErr w:type="spellEnd"/>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51 456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56 000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-8,1</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Санкт-Петербург</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47 857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н/д</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н/д</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512E40" w:rsidP="00C5269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Запсибкомбанк</w:t>
            </w: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41 837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28 861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val="en-US" w:eastAsia="ru-RU"/>
              </w:rPr>
            </w:pPr>
          </w:p>
        </w:tc>
        <w:tc>
          <w:tcPr>
            <w:tcW w:w="3685" w:type="dxa"/>
            <w:tcBorders>
              <w:top w:val="nil"/>
              <w:left w:val="nil"/>
              <w:bottom w:val="double" w:sz="6" w:space="0" w:color="auto"/>
              <w:right w:val="nil"/>
            </w:tcBorders>
            <w:shd w:val="clear" w:color="auto" w:fill="auto"/>
            <w:noWrap/>
            <w:vAlign w:val="bottom"/>
            <w:hideMark/>
          </w:tcPr>
          <w:p w:rsidR="00330D46" w:rsidRPr="005F1178" w:rsidRDefault="000E4BAC"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Группа </w:t>
            </w:r>
            <w:proofErr w:type="spellStart"/>
            <w:r w:rsidRPr="005F1178">
              <w:rPr>
                <w:rFonts w:ascii="Times New Roman" w:eastAsia="Times New Roman" w:hAnsi="Times New Roman"/>
                <w:color w:val="000000"/>
                <w:sz w:val="20"/>
                <w:szCs w:val="20"/>
                <w:lang w:eastAsia="ru-RU"/>
              </w:rPr>
              <w:t>НОМОС-Банка</w:t>
            </w:r>
            <w:proofErr w:type="spellEnd"/>
            <w:r w:rsidRPr="005F1178">
              <w:rPr>
                <w:rFonts w:ascii="Times New Roman" w:eastAsia="Times New Roman" w:hAnsi="Times New Roman"/>
                <w:color w:val="000000"/>
                <w:sz w:val="20"/>
                <w:szCs w:val="20"/>
                <w:lang w:eastAsia="ru-RU"/>
              </w:rPr>
              <w:t xml:space="preserve"> </w:t>
            </w:r>
            <w:r w:rsidR="00330D46" w:rsidRPr="005F1178">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41 008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29 710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2590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АК БАРС</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40 624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38 968</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1942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ГЛОБЭКСБАНК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37 070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21 236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74,6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2272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ОАО АКБ РОСБАНК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28 400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15 006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89,3</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2225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Центр-</w:t>
            </w:r>
            <w:proofErr w:type="spellStart"/>
            <w:r w:rsidRPr="005F1178">
              <w:rPr>
                <w:rFonts w:ascii="Times New Roman" w:eastAsia="Times New Roman" w:hAnsi="Times New Roman"/>
                <w:color w:val="000000"/>
                <w:sz w:val="20"/>
                <w:szCs w:val="20"/>
                <w:lang w:eastAsia="ru-RU"/>
              </w:rPr>
              <w:t>инвест</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26 004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25 955</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0,2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2216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Банк </w:t>
            </w:r>
            <w:proofErr w:type="spellStart"/>
            <w:r w:rsidRPr="005F1178">
              <w:rPr>
                <w:rFonts w:ascii="Times New Roman" w:eastAsia="Times New Roman" w:hAnsi="Times New Roman"/>
                <w:color w:val="000000"/>
                <w:sz w:val="20"/>
                <w:szCs w:val="20"/>
                <w:lang w:eastAsia="ru-RU"/>
              </w:rPr>
              <w:t>Интеза</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25 574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24 124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3255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ОАО Банк ЗЕНИТ</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24 334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15 099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485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ЧЕЛИНДБАНК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23 762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22 273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2707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ЛОКО-Банк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22 786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16 737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36,1</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2029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Смоленский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22 730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19 362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2179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ОТКРЫТИЕ</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22 405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20 254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3461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Первобанк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22 283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13 283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67,8</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ЧЕЛЯБИНВЕСТБАНК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20 173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21 210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СКБ-Банк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20 073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22 979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3176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БАЛТИНВЕСТБАНК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19 581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19 861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3292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Райффайзенбанк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18 796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16 643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УБРиР</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17 773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13 210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2518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Кубань Кредит</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17 722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14 723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w:t>
            </w:r>
          </w:p>
        </w:tc>
        <w:tc>
          <w:tcPr>
            <w:tcW w:w="709" w:type="dxa"/>
            <w:tcBorders>
              <w:top w:val="nil"/>
              <w:left w:val="nil"/>
              <w:bottom w:val="nil"/>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1460</w:t>
            </w:r>
          </w:p>
        </w:tc>
        <w:tc>
          <w:tcPr>
            <w:tcW w:w="3685" w:type="dxa"/>
            <w:tcBorders>
              <w:top w:val="nil"/>
              <w:left w:val="nil"/>
              <w:bottom w:val="nil"/>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Восточный</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17 113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6 161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177,8</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w:t>
            </w:r>
          </w:p>
        </w:tc>
        <w:tc>
          <w:tcPr>
            <w:tcW w:w="709" w:type="dxa"/>
            <w:tcBorders>
              <w:top w:val="double" w:sz="6" w:space="0" w:color="auto"/>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1470</w:t>
            </w:r>
          </w:p>
        </w:tc>
        <w:tc>
          <w:tcPr>
            <w:tcW w:w="3685" w:type="dxa"/>
            <w:tcBorders>
              <w:top w:val="double" w:sz="6" w:space="0" w:color="auto"/>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Связь-Банк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16 770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15 216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Энергомашбанк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15 235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10 031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1885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ФОРА-БАНК</w:t>
            </w:r>
            <w:proofErr w:type="gramStart"/>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w:t>
            </w:r>
            <w:proofErr w:type="gramEnd"/>
            <w:r w:rsidRPr="005F1178">
              <w:rPr>
                <w:rFonts w:ascii="Times New Roman" w:eastAsia="Times New Roman" w:hAnsi="Times New Roman"/>
                <w:color w:val="000000"/>
                <w:sz w:val="20"/>
                <w:szCs w:val="20"/>
                <w:lang w:eastAsia="ru-RU"/>
              </w:rPr>
              <w:t>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14 037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11 652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3058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АИКБ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Татфондбанк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13 064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5 339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144,7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3279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ТРАСТ</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12 852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16 824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Энергобанк</w:t>
            </w:r>
            <w:proofErr w:type="spellEnd"/>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12 504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10 591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18,1</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Финансовая Группа </w:t>
            </w:r>
            <w:proofErr w:type="spellStart"/>
            <w:r w:rsidRPr="005F1178">
              <w:rPr>
                <w:rFonts w:ascii="Times New Roman" w:eastAsia="Times New Roman" w:hAnsi="Times New Roman"/>
                <w:color w:val="000000"/>
                <w:sz w:val="20"/>
                <w:szCs w:val="20"/>
                <w:lang w:eastAsia="ru-RU"/>
              </w:rPr>
              <w:t>Лайф</w:t>
            </w:r>
            <w:proofErr w:type="spellEnd"/>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12 292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9 441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ОАО Банк АВБ</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11 736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17 292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-32,1</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1455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proofErr w:type="spellStart"/>
            <w:r w:rsidRPr="005F1178">
              <w:rPr>
                <w:rFonts w:ascii="Times New Roman" w:eastAsia="Times New Roman" w:hAnsi="Times New Roman"/>
                <w:color w:val="000000"/>
                <w:sz w:val="20"/>
                <w:szCs w:val="20"/>
                <w:lang w:eastAsia="ru-RU"/>
              </w:rPr>
              <w:t>Автоградбанк</w:t>
            </w:r>
            <w:proofErr w:type="spellEnd"/>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11 667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8 133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3205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РУССТРОЙБАНК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11 667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8 160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2771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ЮНИАСТРУМ БАНК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10 350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27 993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-63,0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2562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БИНБАНК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10 335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2 327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344,2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1978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МКБ</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8 649</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5 984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44,5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2377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proofErr w:type="spellStart"/>
            <w:r w:rsidRPr="005F1178">
              <w:rPr>
                <w:rFonts w:ascii="Times New Roman" w:eastAsia="Times New Roman" w:hAnsi="Times New Roman"/>
                <w:color w:val="000000"/>
                <w:sz w:val="20"/>
                <w:szCs w:val="20"/>
                <w:lang w:eastAsia="ru-RU"/>
              </w:rPr>
              <w:t>ИнвесткапиталБанк</w:t>
            </w:r>
            <w:proofErr w:type="spellEnd"/>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8 399</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11 138</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2880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АГРОПРОМКРЕДИТ</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8 317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7 463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lastRenderedPageBreak/>
              <w:t>46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1810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512E40" w:rsidP="00C5269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Азиатско-Тихоокеанский Банк</w:t>
            </w: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7 922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9 881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-19,8</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2268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МТС-Банк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7 802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1 962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297,6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АЛЕКСАНДРОВСКИЙ</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7 672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10 635</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3077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Нацинвестпромбанк</w:t>
            </w:r>
            <w:proofErr w:type="spellEnd"/>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7 508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4 112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82,6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1319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Экономбанк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7 424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5 967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2542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ФИА-БАНК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6 945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12 634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Кредит-Москва</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6 598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6 276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3434</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512E40" w:rsidP="00C5269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РИАБАНК</w:t>
            </w: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6 577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3 939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Первомайский</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5 645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5 578</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567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Акцепт</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5 083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3 326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52,8</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3053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Гранд Инвест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4 956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9 087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-45,5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2767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РОСАВТОБАНК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4 656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4 776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2816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БАНК СГБ</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4 572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4 216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777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Тверьуниверсалбанк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4 284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3 084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38,9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2859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НЕФТЯНОЙ АЛЬЯНС</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4 187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3 387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2011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ЭКОПРОМБАНК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4 101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4 476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1752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АККСБ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КС БАНК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4 098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3 430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646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Ижкомбанк</w:t>
            </w:r>
            <w:proofErr w:type="spellEnd"/>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4 057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4 264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704</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ОИКБ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Русь</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3 997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5 418</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2654</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Унифин</w:t>
            </w:r>
            <w:proofErr w:type="spellEnd"/>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3 960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2 582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53,4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2306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Абсолют 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3 388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3 253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1049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Хакасский муниципальный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3 264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2 600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Урал ФД</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3 018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4 599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2782</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РБР</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2 887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2 156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1677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БПФ 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2 860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3 094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2860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Агророс</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2 857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2 256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1809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НГАБ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Ермак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2 677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2 410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3311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КРЕДИТ ЕВРОПА 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2 575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3 459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3368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СМП Банк</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2 530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757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234,1</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2838</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СИНКО-БАНК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2 527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1 434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76,3</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1776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Петрокоммерц</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2 414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2458,7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1343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Банк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Левобережный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2 257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1 733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2211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proofErr w:type="spellStart"/>
            <w:r w:rsidRPr="005F1178">
              <w:rPr>
                <w:rFonts w:ascii="Times New Roman" w:eastAsia="Times New Roman" w:hAnsi="Times New Roman"/>
                <w:color w:val="000000"/>
                <w:sz w:val="20"/>
                <w:szCs w:val="20"/>
                <w:lang w:eastAsia="ru-RU"/>
              </w:rPr>
              <w:t>Росэнергобанк</w:t>
            </w:r>
            <w:proofErr w:type="spellEnd"/>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2 209</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1 889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2995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СТРОЙЛЕСБАНК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2 127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2 213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-3,9</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2733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СКБ Приморья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ПримСоцБанк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2 081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1 374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1920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Ланта</w:t>
            </w:r>
            <w:proofErr w:type="spellEnd"/>
            <w:r w:rsidRPr="005F1178">
              <w:rPr>
                <w:rFonts w:ascii="Times New Roman" w:eastAsia="Times New Roman" w:hAnsi="Times New Roman"/>
                <w:color w:val="000000"/>
                <w:sz w:val="20"/>
                <w:szCs w:val="20"/>
                <w:lang w:eastAsia="ru-RU"/>
              </w:rPr>
              <w:t>-Банк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2 076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1 847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12,4</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2900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Земский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2 025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1 992</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3480</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Банк БЦК-Москва</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1 932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3 258</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-40,7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2731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ВостСибтранскомбанк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1 751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1 526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14,7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2807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Трансстройбанк</w:t>
            </w:r>
            <w:proofErr w:type="spellEnd"/>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(ЗАО)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1 678</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1 487</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12,8</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А</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901</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Меткомбанк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1 600</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1 170</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36,7</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87</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3417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НОВЫЙ ВЕК</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(ООО)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1 545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3 166</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-51,2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88</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2529</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 ОАО 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АКТИВ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1 477</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1 305</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13,3</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89</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3073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РГС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1 174</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1 941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-39,5</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90</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2207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АКБ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Спурт</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 xml:space="preserve"> (ОАО)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1 153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2 261</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-49,0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91</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503</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Холмсккомбанк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1 042</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1 408</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92</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Кольцо Урала</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995</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573</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73,6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93</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665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ООО КБ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ГТ 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696</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264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164,2</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94</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2156</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proofErr w:type="spellStart"/>
            <w:r w:rsidRPr="005F1178">
              <w:rPr>
                <w:rFonts w:ascii="Times New Roman" w:eastAsia="Times New Roman" w:hAnsi="Times New Roman"/>
                <w:color w:val="000000"/>
                <w:sz w:val="20"/>
                <w:szCs w:val="20"/>
                <w:lang w:eastAsia="ru-RU"/>
              </w:rPr>
              <w:t>Нефтепромбанк</w:t>
            </w:r>
            <w:proofErr w:type="spellEnd"/>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619</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н/д</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н/д</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95</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1137</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512E40" w:rsidP="00C5269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БУМ-БАНК</w:t>
            </w:r>
            <w:r>
              <w:rPr>
                <w:rFonts w:ascii="Times New Roman" w:eastAsia="Times New Roman" w:hAnsi="Times New Roman"/>
                <w:color w:val="000000"/>
                <w:sz w:val="20"/>
                <w:szCs w:val="20"/>
                <w:lang w:eastAsia="ru-RU"/>
              </w:rPr>
              <w:t>»</w:t>
            </w:r>
            <w:r w:rsidR="00330D46" w:rsidRPr="005F1178">
              <w:rPr>
                <w:rFonts w:ascii="Times New Roman" w:eastAsia="Times New Roman" w:hAnsi="Times New Roman"/>
                <w:color w:val="000000"/>
                <w:sz w:val="20"/>
                <w:szCs w:val="20"/>
                <w:lang w:eastAsia="ru-RU"/>
              </w:rPr>
              <w:t>, ООО</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323</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654</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-50,6</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B++</w:t>
            </w:r>
          </w:p>
        </w:tc>
      </w:tr>
      <w:tr w:rsidR="00330D46" w:rsidRPr="005F1178" w:rsidTr="00C52690">
        <w:trPr>
          <w:trHeight w:val="20"/>
        </w:trPr>
        <w:tc>
          <w:tcPr>
            <w:tcW w:w="86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96</w:t>
            </w:r>
          </w:p>
        </w:tc>
        <w:tc>
          <w:tcPr>
            <w:tcW w:w="709"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965</w:t>
            </w:r>
          </w:p>
        </w:tc>
        <w:tc>
          <w:tcPr>
            <w:tcW w:w="3685"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 xml:space="preserve">ЗАО </w:t>
            </w:r>
            <w:r w:rsidR="00512E40">
              <w:rPr>
                <w:rFonts w:ascii="Times New Roman" w:eastAsia="Times New Roman" w:hAnsi="Times New Roman"/>
                <w:color w:val="000000"/>
                <w:sz w:val="20"/>
                <w:szCs w:val="20"/>
                <w:lang w:eastAsia="ru-RU"/>
              </w:rPr>
              <w:t>«</w:t>
            </w:r>
            <w:r w:rsidRPr="005F1178">
              <w:rPr>
                <w:rFonts w:ascii="Times New Roman" w:eastAsia="Times New Roman" w:hAnsi="Times New Roman"/>
                <w:color w:val="000000"/>
                <w:sz w:val="20"/>
                <w:szCs w:val="20"/>
                <w:lang w:eastAsia="ru-RU"/>
              </w:rPr>
              <w:t>ПЕРВОУРАЛЬСКБАНК</w:t>
            </w:r>
            <w:r w:rsidR="00512E40">
              <w:rPr>
                <w:rFonts w:ascii="Times New Roman" w:eastAsia="Times New Roman" w:hAnsi="Times New Roman"/>
                <w:color w:val="000000"/>
                <w:sz w:val="20"/>
                <w:szCs w:val="20"/>
                <w:lang w:eastAsia="ru-RU"/>
              </w:rPr>
              <w:t>»</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311</w:t>
            </w:r>
          </w:p>
        </w:tc>
        <w:tc>
          <w:tcPr>
            <w:tcW w:w="1276"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349</w:t>
            </w:r>
          </w:p>
        </w:tc>
        <w:tc>
          <w:tcPr>
            <w:tcW w:w="1134"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right"/>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-11,0</w:t>
            </w:r>
          </w:p>
        </w:tc>
        <w:tc>
          <w:tcPr>
            <w:tcW w:w="1873" w:type="dxa"/>
            <w:tcBorders>
              <w:top w:val="nil"/>
              <w:left w:val="nil"/>
              <w:bottom w:val="double" w:sz="6" w:space="0" w:color="auto"/>
              <w:right w:val="nil"/>
            </w:tcBorders>
            <w:shd w:val="clear" w:color="auto" w:fill="auto"/>
            <w:noWrap/>
            <w:vAlign w:val="bottom"/>
            <w:hideMark/>
          </w:tcPr>
          <w:p w:rsidR="00330D46" w:rsidRPr="005F1178" w:rsidRDefault="00330D46" w:rsidP="00C52690">
            <w:pPr>
              <w:spacing w:after="0" w:line="240" w:lineRule="auto"/>
              <w:jc w:val="center"/>
              <w:rPr>
                <w:rFonts w:ascii="Times New Roman" w:eastAsia="Times New Roman" w:hAnsi="Times New Roman"/>
                <w:color w:val="000000"/>
                <w:sz w:val="20"/>
                <w:szCs w:val="20"/>
                <w:lang w:eastAsia="ru-RU"/>
              </w:rPr>
            </w:pPr>
            <w:r w:rsidRPr="005F1178">
              <w:rPr>
                <w:rFonts w:ascii="Times New Roman" w:eastAsia="Times New Roman" w:hAnsi="Times New Roman"/>
                <w:color w:val="000000"/>
                <w:sz w:val="20"/>
                <w:szCs w:val="20"/>
                <w:lang w:eastAsia="ru-RU"/>
              </w:rPr>
              <w:t>A</w:t>
            </w:r>
          </w:p>
        </w:tc>
      </w:tr>
    </w:tbl>
    <w:p w:rsidR="00E94C65" w:rsidRPr="005F1178" w:rsidRDefault="00E94C65" w:rsidP="00E94C65">
      <w:pPr>
        <w:tabs>
          <w:tab w:val="num" w:pos="1440"/>
        </w:tabs>
        <w:jc w:val="right"/>
        <w:rPr>
          <w:i/>
          <w:sz w:val="20"/>
          <w:szCs w:val="20"/>
        </w:rPr>
      </w:pPr>
      <w:r w:rsidRPr="005F1178">
        <w:tab/>
      </w:r>
      <w:r w:rsidRPr="005F1178">
        <w:rPr>
          <w:b/>
          <w:i/>
          <w:sz w:val="20"/>
          <w:szCs w:val="20"/>
        </w:rPr>
        <w:t>Источник:</w:t>
      </w:r>
      <w:r w:rsidRPr="005F1178">
        <w:rPr>
          <w:i/>
          <w:sz w:val="20"/>
          <w:szCs w:val="20"/>
        </w:rPr>
        <w:t xml:space="preserve"> оценка «Эксперта РА» по данным анкет банков</w:t>
      </w:r>
    </w:p>
    <w:p w:rsidR="00E94C65" w:rsidRPr="005F1178" w:rsidRDefault="00E94C65" w:rsidP="00330D46">
      <w:pPr>
        <w:ind w:left="142"/>
        <w:rPr>
          <w:rFonts w:ascii="Times New Roman" w:hAnsi="Times New Roman"/>
          <w:sz w:val="18"/>
          <w:szCs w:val="18"/>
        </w:rPr>
      </w:pPr>
    </w:p>
    <w:p w:rsidR="00330D46" w:rsidRDefault="00330D46" w:rsidP="00330D46">
      <w:pPr>
        <w:ind w:left="142"/>
        <w:rPr>
          <w:rFonts w:ascii="Times New Roman" w:hAnsi="Times New Roman"/>
          <w:sz w:val="18"/>
          <w:szCs w:val="18"/>
        </w:rPr>
      </w:pPr>
      <w:r w:rsidRPr="005F1178">
        <w:rPr>
          <w:rFonts w:ascii="Times New Roman" w:hAnsi="Times New Roman"/>
          <w:sz w:val="18"/>
          <w:szCs w:val="18"/>
        </w:rPr>
        <w:t>Здесь и далее «*» – данные, предоставленные банками только по малому бизнесу</w:t>
      </w:r>
      <w:r w:rsidR="000A3122">
        <w:rPr>
          <w:rFonts w:ascii="Times New Roman" w:hAnsi="Times New Roman"/>
          <w:sz w:val="18"/>
          <w:szCs w:val="18"/>
        </w:rPr>
        <w:t xml:space="preserve">, </w:t>
      </w:r>
      <w:r w:rsidRPr="005F1178">
        <w:rPr>
          <w:rFonts w:ascii="Times New Roman" w:hAnsi="Times New Roman"/>
          <w:sz w:val="18"/>
          <w:szCs w:val="18"/>
        </w:rPr>
        <w:t xml:space="preserve">«**» </w:t>
      </w:r>
      <w:r w:rsidR="001E024C">
        <w:rPr>
          <w:rFonts w:ascii="Times New Roman" w:hAnsi="Times New Roman"/>
          <w:sz w:val="18"/>
          <w:szCs w:val="18"/>
        </w:rPr>
        <w:t>–</w:t>
      </w:r>
      <w:r w:rsidRPr="005F1178">
        <w:rPr>
          <w:rFonts w:ascii="Times New Roman" w:hAnsi="Times New Roman"/>
          <w:sz w:val="18"/>
          <w:szCs w:val="18"/>
        </w:rPr>
        <w:t xml:space="preserve"> </w:t>
      </w:r>
      <w:r w:rsidR="001E024C">
        <w:rPr>
          <w:rFonts w:ascii="Times New Roman" w:hAnsi="Times New Roman"/>
          <w:sz w:val="18"/>
          <w:szCs w:val="18"/>
        </w:rPr>
        <w:t>в</w:t>
      </w:r>
      <w:r w:rsidR="000E4BAC" w:rsidRPr="005F1178">
        <w:rPr>
          <w:rFonts w:ascii="Times New Roman" w:hAnsi="Times New Roman"/>
          <w:sz w:val="18"/>
          <w:szCs w:val="18"/>
        </w:rPr>
        <w:t xml:space="preserve"> группу НОМОС входят Ханты-Мансийский Банк, НОМОС-РЕГИОБАНК, НОМОС-БАНК-Сибирь, Новосибирский Муниципальный банк</w:t>
      </w:r>
      <w:r w:rsidR="000A3122">
        <w:rPr>
          <w:rFonts w:ascii="Times New Roman" w:hAnsi="Times New Roman"/>
          <w:sz w:val="18"/>
          <w:szCs w:val="18"/>
        </w:rPr>
        <w:t>,</w:t>
      </w:r>
      <w:r w:rsidRPr="005F1178">
        <w:rPr>
          <w:rFonts w:ascii="Times New Roman" w:hAnsi="Times New Roman"/>
          <w:sz w:val="18"/>
          <w:szCs w:val="18"/>
        </w:rPr>
        <w:t xml:space="preserve"> «***» </w:t>
      </w:r>
      <w:r w:rsidR="001E024C">
        <w:rPr>
          <w:rFonts w:ascii="Times New Roman" w:hAnsi="Times New Roman"/>
          <w:sz w:val="18"/>
          <w:szCs w:val="18"/>
        </w:rPr>
        <w:t>–</w:t>
      </w:r>
      <w:r w:rsidRPr="005F1178">
        <w:rPr>
          <w:rFonts w:ascii="Times New Roman" w:hAnsi="Times New Roman"/>
          <w:sz w:val="18"/>
          <w:szCs w:val="18"/>
        </w:rPr>
        <w:t xml:space="preserve"> данные, предоставленные с учетом кредитов МСБ, оформленных на ФЛ.</w:t>
      </w:r>
    </w:p>
    <w:p w:rsidR="00DB6059" w:rsidRPr="005F1178" w:rsidRDefault="00DB6059" w:rsidP="00DB6059">
      <w:pPr>
        <w:jc w:val="center"/>
        <w:rPr>
          <w:b/>
        </w:rPr>
      </w:pPr>
      <w:r>
        <w:rPr>
          <w:b/>
        </w:rPr>
        <w:t>Таблица 2</w:t>
      </w:r>
      <w:r w:rsidRPr="005F1178">
        <w:rPr>
          <w:b/>
        </w:rPr>
        <w:t xml:space="preserve">. </w:t>
      </w:r>
      <w:proofErr w:type="spellStart"/>
      <w:r w:rsidRPr="005F1178">
        <w:rPr>
          <w:b/>
        </w:rPr>
        <w:t>Рэнкинг</w:t>
      </w:r>
      <w:proofErr w:type="spellEnd"/>
      <w:r w:rsidRPr="005F1178">
        <w:rPr>
          <w:b/>
        </w:rPr>
        <w:t xml:space="preserve"> по </w:t>
      </w:r>
      <w:r>
        <w:rPr>
          <w:b/>
        </w:rPr>
        <w:t>портфел</w:t>
      </w:r>
      <w:r w:rsidR="001E024C">
        <w:rPr>
          <w:b/>
        </w:rPr>
        <w:t>ю</w:t>
      </w:r>
      <w:r>
        <w:rPr>
          <w:b/>
        </w:rPr>
        <w:t xml:space="preserve"> кредитов ИП по итогам 2012 года</w:t>
      </w:r>
    </w:p>
    <w:tbl>
      <w:tblPr>
        <w:tblW w:w="5000" w:type="pct"/>
        <w:tblLook w:val="04A0" w:firstRow="1" w:lastRow="0" w:firstColumn="1" w:lastColumn="0" w:noHBand="0" w:noVBand="1"/>
      </w:tblPr>
      <w:tblGrid>
        <w:gridCol w:w="761"/>
        <w:gridCol w:w="944"/>
        <w:gridCol w:w="3141"/>
        <w:gridCol w:w="980"/>
        <w:gridCol w:w="980"/>
        <w:gridCol w:w="986"/>
        <w:gridCol w:w="1779"/>
      </w:tblGrid>
      <w:tr w:rsidR="00E85BD5" w:rsidRPr="00A77B1F" w:rsidTr="00F2710E">
        <w:trPr>
          <w:trHeight w:val="20"/>
        </w:trPr>
        <w:tc>
          <w:tcPr>
            <w:tcW w:w="449" w:type="pct"/>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Место по итогам 2012 года</w:t>
            </w:r>
          </w:p>
        </w:tc>
        <w:tc>
          <w:tcPr>
            <w:tcW w:w="449" w:type="pct"/>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 xml:space="preserve">№ лицензии </w:t>
            </w:r>
            <w:r w:rsidR="001E024C">
              <w:rPr>
                <w:rFonts w:ascii="Times New Roman" w:eastAsia="Times New Roman" w:hAnsi="Times New Roman" w:cs="Times New Roman"/>
                <w:b/>
                <w:bCs/>
                <w:color w:val="000000"/>
                <w:sz w:val="18"/>
                <w:szCs w:val="18"/>
                <w:lang w:eastAsia="ru-RU"/>
              </w:rPr>
              <w:t>б</w:t>
            </w:r>
            <w:r w:rsidRPr="00A77B1F">
              <w:rPr>
                <w:rFonts w:ascii="Times New Roman" w:eastAsia="Times New Roman" w:hAnsi="Times New Roman" w:cs="Times New Roman"/>
                <w:b/>
                <w:bCs/>
                <w:color w:val="000000"/>
                <w:sz w:val="18"/>
                <w:szCs w:val="18"/>
                <w:lang w:eastAsia="ru-RU"/>
              </w:rPr>
              <w:t>анка</w:t>
            </w:r>
          </w:p>
        </w:tc>
        <w:tc>
          <w:tcPr>
            <w:tcW w:w="1539" w:type="pct"/>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Банк</w:t>
            </w:r>
          </w:p>
        </w:tc>
        <w:tc>
          <w:tcPr>
            <w:tcW w:w="1171" w:type="pct"/>
            <w:gridSpan w:val="2"/>
            <w:tcBorders>
              <w:top w:val="single" w:sz="4" w:space="0" w:color="auto"/>
              <w:left w:val="nil"/>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 xml:space="preserve">Остаток ссудной задолженности по кредитам, выданным индивидуальным предпринимателям, </w:t>
            </w:r>
            <w:proofErr w:type="gramStart"/>
            <w:r w:rsidRPr="00A77B1F">
              <w:rPr>
                <w:rFonts w:ascii="Times New Roman" w:eastAsia="Times New Roman" w:hAnsi="Times New Roman" w:cs="Times New Roman"/>
                <w:b/>
                <w:bCs/>
                <w:color w:val="000000"/>
                <w:sz w:val="18"/>
                <w:szCs w:val="18"/>
                <w:lang w:eastAsia="ru-RU"/>
              </w:rPr>
              <w:t>млн</w:t>
            </w:r>
            <w:proofErr w:type="gramEnd"/>
            <w:r w:rsidRPr="00A77B1F">
              <w:rPr>
                <w:rFonts w:ascii="Times New Roman" w:eastAsia="Times New Roman" w:hAnsi="Times New Roman" w:cs="Times New Roman"/>
                <w:b/>
                <w:bCs/>
                <w:color w:val="000000"/>
                <w:sz w:val="18"/>
                <w:szCs w:val="18"/>
                <w:lang w:eastAsia="ru-RU"/>
              </w:rPr>
              <w:t xml:space="preserve"> руб</w:t>
            </w:r>
            <w:r w:rsidR="001E024C">
              <w:rPr>
                <w:rFonts w:ascii="Times New Roman" w:eastAsia="Times New Roman" w:hAnsi="Times New Roman" w:cs="Times New Roman"/>
                <w:b/>
                <w:bCs/>
                <w:color w:val="000000"/>
                <w:sz w:val="18"/>
                <w:szCs w:val="18"/>
                <w:lang w:eastAsia="ru-RU"/>
              </w:rPr>
              <w:t>лей</w:t>
            </w:r>
          </w:p>
        </w:tc>
        <w:tc>
          <w:tcPr>
            <w:tcW w:w="641" w:type="pct"/>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Темп прироста</w:t>
            </w:r>
            <w:r w:rsidR="001E024C">
              <w:rPr>
                <w:rFonts w:ascii="Times New Roman" w:eastAsia="Times New Roman" w:hAnsi="Times New Roman" w:cs="Times New Roman"/>
                <w:b/>
                <w:bCs/>
                <w:color w:val="000000"/>
                <w:sz w:val="18"/>
                <w:szCs w:val="18"/>
                <w:lang w:eastAsia="ru-RU"/>
              </w:rPr>
              <w:t>,</w:t>
            </w:r>
            <w:r w:rsidRPr="00A77B1F">
              <w:rPr>
                <w:rFonts w:ascii="Times New Roman" w:eastAsia="Times New Roman" w:hAnsi="Times New Roman" w:cs="Times New Roman"/>
                <w:b/>
                <w:bCs/>
                <w:color w:val="000000"/>
                <w:sz w:val="18"/>
                <w:szCs w:val="18"/>
                <w:lang w:eastAsia="ru-RU"/>
              </w:rPr>
              <w:t xml:space="preserve"> 2012/2011, %</w:t>
            </w:r>
          </w:p>
        </w:tc>
        <w:tc>
          <w:tcPr>
            <w:tcW w:w="751" w:type="pct"/>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E85BD5" w:rsidRPr="00A77B1F" w:rsidRDefault="00E85BD5" w:rsidP="001E024C">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 xml:space="preserve">Рейтинг кредитоспособности </w:t>
            </w:r>
            <w:r w:rsidR="001E024C">
              <w:rPr>
                <w:rFonts w:ascii="Times New Roman" w:eastAsia="Times New Roman" w:hAnsi="Times New Roman" w:cs="Times New Roman"/>
                <w:b/>
                <w:bCs/>
                <w:color w:val="000000"/>
                <w:sz w:val="18"/>
                <w:szCs w:val="18"/>
                <w:lang w:eastAsia="ru-RU"/>
              </w:rPr>
              <w:t>«</w:t>
            </w:r>
            <w:r w:rsidRPr="00A77B1F">
              <w:rPr>
                <w:rFonts w:ascii="Times New Roman" w:eastAsia="Times New Roman" w:hAnsi="Times New Roman" w:cs="Times New Roman"/>
                <w:b/>
                <w:bCs/>
                <w:color w:val="000000"/>
                <w:sz w:val="18"/>
                <w:szCs w:val="18"/>
                <w:lang w:eastAsia="ru-RU"/>
              </w:rPr>
              <w:t>Эксперт</w:t>
            </w:r>
            <w:r w:rsidR="001E024C">
              <w:rPr>
                <w:rFonts w:ascii="Times New Roman" w:eastAsia="Times New Roman" w:hAnsi="Times New Roman" w:cs="Times New Roman"/>
                <w:b/>
                <w:bCs/>
                <w:color w:val="000000"/>
                <w:sz w:val="18"/>
                <w:szCs w:val="18"/>
                <w:lang w:eastAsia="ru-RU"/>
              </w:rPr>
              <w:t>а</w:t>
            </w:r>
            <w:r w:rsidRPr="00A77B1F">
              <w:rPr>
                <w:rFonts w:ascii="Times New Roman" w:eastAsia="Times New Roman" w:hAnsi="Times New Roman" w:cs="Times New Roman"/>
                <w:b/>
                <w:bCs/>
                <w:color w:val="000000"/>
                <w:sz w:val="18"/>
                <w:szCs w:val="18"/>
                <w:lang w:eastAsia="ru-RU"/>
              </w:rPr>
              <w:t xml:space="preserve"> РА</w:t>
            </w:r>
            <w:r w:rsidR="001E024C">
              <w:rPr>
                <w:rFonts w:ascii="Times New Roman" w:eastAsia="Times New Roman" w:hAnsi="Times New Roman" w:cs="Times New Roman"/>
                <w:b/>
                <w:bCs/>
                <w:color w:val="000000"/>
                <w:sz w:val="18"/>
                <w:szCs w:val="18"/>
                <w:lang w:eastAsia="ru-RU"/>
              </w:rPr>
              <w:t>»</w:t>
            </w:r>
          </w:p>
        </w:tc>
      </w:tr>
      <w:tr w:rsidR="00E85BD5" w:rsidRPr="00A77B1F" w:rsidTr="00F2710E">
        <w:trPr>
          <w:trHeight w:val="20"/>
        </w:trPr>
        <w:tc>
          <w:tcPr>
            <w:tcW w:w="449" w:type="pct"/>
            <w:vMerge/>
            <w:tcBorders>
              <w:top w:val="single" w:sz="4" w:space="0" w:color="auto"/>
              <w:left w:val="single" w:sz="4" w:space="0" w:color="auto"/>
              <w:bottom w:val="single" w:sz="4" w:space="0" w:color="auto"/>
              <w:right w:val="single" w:sz="4" w:space="0" w:color="auto"/>
            </w:tcBorders>
            <w:vAlign w:val="center"/>
            <w:hideMark/>
          </w:tcPr>
          <w:p w:rsidR="00E85BD5" w:rsidRPr="00A77B1F" w:rsidRDefault="00E85BD5" w:rsidP="00F2710E">
            <w:pPr>
              <w:spacing w:after="0" w:line="240" w:lineRule="auto"/>
              <w:rPr>
                <w:rFonts w:ascii="Times New Roman" w:eastAsia="Times New Roman" w:hAnsi="Times New Roman" w:cs="Times New Roman"/>
                <w:b/>
                <w:bCs/>
                <w:color w:val="000000"/>
                <w:sz w:val="18"/>
                <w:szCs w:val="18"/>
                <w:lang w:eastAsia="ru-RU"/>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E85BD5" w:rsidRPr="00A77B1F" w:rsidRDefault="00E85BD5" w:rsidP="00F2710E">
            <w:pPr>
              <w:spacing w:after="0" w:line="240" w:lineRule="auto"/>
              <w:rPr>
                <w:rFonts w:ascii="Times New Roman" w:eastAsia="Times New Roman" w:hAnsi="Times New Roman" w:cs="Times New Roman"/>
                <w:b/>
                <w:bCs/>
                <w:color w:val="000000"/>
                <w:sz w:val="18"/>
                <w:szCs w:val="18"/>
                <w:lang w:eastAsia="ru-RU"/>
              </w:rPr>
            </w:pPr>
          </w:p>
        </w:tc>
        <w:tc>
          <w:tcPr>
            <w:tcW w:w="1539" w:type="pct"/>
            <w:vMerge/>
            <w:tcBorders>
              <w:top w:val="single" w:sz="4" w:space="0" w:color="auto"/>
              <w:left w:val="single" w:sz="4" w:space="0" w:color="auto"/>
              <w:bottom w:val="single" w:sz="4" w:space="0" w:color="auto"/>
              <w:right w:val="single" w:sz="4" w:space="0" w:color="auto"/>
            </w:tcBorders>
            <w:vAlign w:val="center"/>
            <w:hideMark/>
          </w:tcPr>
          <w:p w:rsidR="00E85BD5" w:rsidRPr="00A77B1F" w:rsidRDefault="00E85BD5" w:rsidP="00F2710E">
            <w:pPr>
              <w:spacing w:after="0" w:line="240" w:lineRule="auto"/>
              <w:rPr>
                <w:rFonts w:ascii="Times New Roman" w:eastAsia="Times New Roman" w:hAnsi="Times New Roman" w:cs="Times New Roman"/>
                <w:b/>
                <w:bCs/>
                <w:color w:val="000000"/>
                <w:sz w:val="18"/>
                <w:szCs w:val="18"/>
                <w:lang w:eastAsia="ru-RU"/>
              </w:rPr>
            </w:pPr>
          </w:p>
        </w:tc>
        <w:tc>
          <w:tcPr>
            <w:tcW w:w="601" w:type="pct"/>
            <w:tcBorders>
              <w:top w:val="nil"/>
              <w:left w:val="nil"/>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на 01.01.2013</w:t>
            </w:r>
          </w:p>
        </w:tc>
        <w:tc>
          <w:tcPr>
            <w:tcW w:w="569" w:type="pct"/>
            <w:tcBorders>
              <w:top w:val="nil"/>
              <w:left w:val="nil"/>
              <w:bottom w:val="single" w:sz="4" w:space="0" w:color="auto"/>
              <w:right w:val="single" w:sz="4" w:space="0" w:color="auto"/>
            </w:tcBorders>
            <w:shd w:val="clear" w:color="000000" w:fill="C5D9F1"/>
            <w:vAlign w:val="center"/>
            <w:hideMark/>
          </w:tcPr>
          <w:p w:rsidR="00E85BD5" w:rsidRPr="00A77B1F" w:rsidRDefault="00E85BD5" w:rsidP="00F2710E">
            <w:pPr>
              <w:spacing w:after="0" w:line="240" w:lineRule="auto"/>
              <w:jc w:val="center"/>
              <w:rPr>
                <w:rFonts w:ascii="Times New Roman" w:eastAsia="Times New Roman" w:hAnsi="Times New Roman" w:cs="Times New Roman"/>
                <w:b/>
                <w:bCs/>
                <w:color w:val="000000"/>
                <w:sz w:val="18"/>
                <w:szCs w:val="18"/>
                <w:lang w:eastAsia="ru-RU"/>
              </w:rPr>
            </w:pPr>
            <w:r w:rsidRPr="00A77B1F">
              <w:rPr>
                <w:rFonts w:ascii="Times New Roman" w:eastAsia="Times New Roman" w:hAnsi="Times New Roman" w:cs="Times New Roman"/>
                <w:b/>
                <w:bCs/>
                <w:color w:val="000000"/>
                <w:sz w:val="18"/>
                <w:szCs w:val="18"/>
                <w:lang w:eastAsia="ru-RU"/>
              </w:rPr>
              <w:t>на 01.01.2012</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E85BD5" w:rsidRPr="00A77B1F" w:rsidRDefault="00E85BD5" w:rsidP="00F2710E">
            <w:pPr>
              <w:spacing w:after="0" w:line="240" w:lineRule="auto"/>
              <w:rPr>
                <w:rFonts w:ascii="Times New Roman" w:eastAsia="Times New Roman" w:hAnsi="Times New Roman" w:cs="Times New Roman"/>
                <w:b/>
                <w:bCs/>
                <w:color w:val="000000"/>
                <w:sz w:val="18"/>
                <w:szCs w:val="18"/>
                <w:lang w:eastAsia="ru-RU"/>
              </w:rPr>
            </w:pP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85BD5" w:rsidRPr="00A77B1F" w:rsidRDefault="00E85BD5" w:rsidP="00F2710E">
            <w:pPr>
              <w:spacing w:after="0" w:line="240" w:lineRule="auto"/>
              <w:rPr>
                <w:rFonts w:ascii="Times New Roman" w:eastAsia="Times New Roman" w:hAnsi="Times New Roman" w:cs="Times New Roman"/>
                <w:b/>
                <w:bCs/>
                <w:color w:val="000000"/>
                <w:sz w:val="18"/>
                <w:szCs w:val="18"/>
                <w:lang w:eastAsia="ru-RU"/>
              </w:rPr>
            </w:pP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1481</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Сбербанк России</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222 644</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158 052</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40,87</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3349</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proofErr w:type="spellStart"/>
            <w:r w:rsidRPr="00A77B1F">
              <w:rPr>
                <w:rFonts w:ascii="Times New Roman" w:eastAsia="Times New Roman" w:hAnsi="Times New Roman" w:cs="Times New Roman"/>
                <w:sz w:val="18"/>
                <w:szCs w:val="18"/>
                <w:lang w:eastAsia="ru-RU"/>
              </w:rPr>
              <w:t>Россельхозбанк</w:t>
            </w:r>
            <w:proofErr w:type="spellEnd"/>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65 496</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49 707</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31,76</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1623</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ВТБ 24 (ЗАО)</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43 693</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20 231</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115,97</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705</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СКБ-банк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15 170</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8 834</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71,72</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A+</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5</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2216</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ЗАО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 xml:space="preserve">Банк </w:t>
            </w:r>
            <w:proofErr w:type="spellStart"/>
            <w:r w:rsidRPr="00A77B1F">
              <w:rPr>
                <w:rFonts w:ascii="Times New Roman" w:eastAsia="Times New Roman" w:hAnsi="Times New Roman" w:cs="Times New Roman"/>
                <w:sz w:val="18"/>
                <w:szCs w:val="18"/>
                <w:lang w:eastAsia="ru-RU"/>
              </w:rPr>
              <w:t>Интеза</w:t>
            </w:r>
            <w:proofErr w:type="spellEnd"/>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12 606</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12 579</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0,22</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6</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3251</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Промсвязьбанк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11 624</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9 308</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24,88</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7</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2275</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УРАЛСИБ</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9 124</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7 687</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18,70</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2771</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КБ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ЮНИАСТРУМ БАНК</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 xml:space="preserve"> (ООО)</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8 238</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8 397</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-1,89</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B++</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9</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2209</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3F7862" w:rsidP="00F2710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E85BD5" w:rsidRPr="00A77B1F">
              <w:rPr>
                <w:rFonts w:ascii="Times New Roman" w:eastAsia="Times New Roman" w:hAnsi="Times New Roman" w:cs="Times New Roman"/>
                <w:sz w:val="18"/>
                <w:szCs w:val="18"/>
                <w:lang w:eastAsia="ru-RU"/>
              </w:rPr>
              <w:t>НОМОС-БАНК</w:t>
            </w:r>
            <w:r>
              <w:rPr>
                <w:rFonts w:ascii="Times New Roman" w:eastAsia="Times New Roman" w:hAnsi="Times New Roman" w:cs="Times New Roman"/>
                <w:sz w:val="18"/>
                <w:szCs w:val="18"/>
                <w:lang w:eastAsia="ru-RU"/>
              </w:rPr>
              <w:t>»</w:t>
            </w:r>
            <w:r w:rsidR="00E85BD5" w:rsidRPr="00A77B1F">
              <w:rPr>
                <w:rFonts w:ascii="Times New Roman" w:eastAsia="Times New Roman" w:hAnsi="Times New Roman" w:cs="Times New Roman"/>
                <w:sz w:val="18"/>
                <w:szCs w:val="18"/>
                <w:lang w:eastAsia="ru-RU"/>
              </w:rPr>
              <w:t xml:space="preserve"> (ОАО)</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7 386</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4 886</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51,16</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10</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2272</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АКБ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РОСБАНК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5 619</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5 812</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-3,33</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11</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3292</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ЗАО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Райффайзенбанк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5 384</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3 238</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66,28</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12</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1971</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ОАО ХАНТЫ-МАНСИЙСКИЙ БАНК</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4 875</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2 945</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65,56</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13</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323</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МДМ 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4 585</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4 995</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-8,20</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14</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2268</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МТС-Банк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4 562</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1 086</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320,13</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15</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2225</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КБ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Центр-</w:t>
            </w:r>
            <w:proofErr w:type="spellStart"/>
            <w:r w:rsidRPr="00A77B1F">
              <w:rPr>
                <w:rFonts w:ascii="Times New Roman" w:eastAsia="Times New Roman" w:hAnsi="Times New Roman" w:cs="Times New Roman"/>
                <w:sz w:val="18"/>
                <w:szCs w:val="18"/>
                <w:lang w:eastAsia="ru-RU"/>
              </w:rPr>
              <w:t>инвест</w:t>
            </w:r>
            <w:proofErr w:type="spellEnd"/>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4 037</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3 859</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4,61</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16</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2590</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АК БАРС</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 xml:space="preserve"> БАНК</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3 878</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2 893</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34,05</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17</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2748</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Банк Москвы</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3 240</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2 521</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28,55</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18</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1000</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ОАО Банк ВТБ</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3 169</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2 369</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33,74</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19</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429</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proofErr w:type="spellStart"/>
            <w:r w:rsidRPr="00A77B1F">
              <w:rPr>
                <w:rFonts w:ascii="Times New Roman" w:eastAsia="Times New Roman" w:hAnsi="Times New Roman" w:cs="Times New Roman"/>
                <w:sz w:val="18"/>
                <w:szCs w:val="18"/>
                <w:lang w:eastAsia="ru-RU"/>
              </w:rPr>
              <w:t>УБРиР</w:t>
            </w:r>
            <w:proofErr w:type="spellEnd"/>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3 059</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1 648</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85,68</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20</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1966</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НБД-Банк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2 970</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2 860</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3,84</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21</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2179</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Банк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ОТКРЫТИЕ</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2 907</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2 486</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16,93</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22</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1810</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3F7862" w:rsidP="00F2710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E85BD5" w:rsidRPr="00A77B1F">
              <w:rPr>
                <w:rFonts w:ascii="Times New Roman" w:eastAsia="Times New Roman" w:hAnsi="Times New Roman" w:cs="Times New Roman"/>
                <w:sz w:val="18"/>
                <w:szCs w:val="18"/>
                <w:lang w:eastAsia="ru-RU"/>
              </w:rPr>
              <w:t>Азиатско-Тихоокеанский Банк</w:t>
            </w:r>
            <w:r>
              <w:rPr>
                <w:rFonts w:ascii="Times New Roman" w:eastAsia="Times New Roman" w:hAnsi="Times New Roman" w:cs="Times New Roman"/>
                <w:sz w:val="18"/>
                <w:szCs w:val="18"/>
                <w:lang w:eastAsia="ru-RU"/>
              </w:rPr>
              <w:t>»</w:t>
            </w:r>
            <w:r w:rsidR="00E85BD5" w:rsidRPr="00A77B1F">
              <w:rPr>
                <w:rFonts w:ascii="Times New Roman" w:eastAsia="Times New Roman" w:hAnsi="Times New Roman" w:cs="Times New Roman"/>
                <w:sz w:val="18"/>
                <w:szCs w:val="18"/>
                <w:lang w:eastAsia="ru-RU"/>
              </w:rPr>
              <w:t xml:space="preserve"> (ОАО)</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2 567</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1 736</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47,88</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A+</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23</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843</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Дальневосточный 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2 356</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2 299</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2,49</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24</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2816</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БАНК СГБ</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2 312</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2 400</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-3,65</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A</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25</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1326</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АЛЬФА-БАНК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1 893</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1 451</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30,41</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26</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2306</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АКБ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Абсолют Банк</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 xml:space="preserve"> (ЗАО)</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1 840</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1 743</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5,56</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27</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1470</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АКБ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Связь-Банк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1 708</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1 336</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27,84</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28</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2733</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СКБ Приморья </w:t>
            </w:r>
            <w:r w:rsidR="003F7862">
              <w:rPr>
                <w:rFonts w:ascii="Times New Roman" w:eastAsia="Times New Roman" w:hAnsi="Times New Roman" w:cs="Times New Roman"/>
                <w:sz w:val="18"/>
                <w:szCs w:val="18"/>
                <w:lang w:eastAsia="ru-RU"/>
              </w:rPr>
              <w:t>«</w:t>
            </w:r>
            <w:proofErr w:type="spellStart"/>
            <w:r w:rsidRPr="00A77B1F">
              <w:rPr>
                <w:rFonts w:ascii="Times New Roman" w:eastAsia="Times New Roman" w:hAnsi="Times New Roman" w:cs="Times New Roman"/>
                <w:sz w:val="18"/>
                <w:szCs w:val="18"/>
                <w:lang w:eastAsia="ru-RU"/>
              </w:rPr>
              <w:t>Примсоцбанк</w:t>
            </w:r>
            <w:proofErr w:type="spellEnd"/>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1 705</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1 279</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33,24</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29</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2562</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ОАО </w:t>
            </w:r>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БИНБАНК</w:t>
            </w:r>
            <w:r w:rsidR="003F7862">
              <w:rPr>
                <w:rFonts w:ascii="Times New Roman" w:eastAsia="Times New Roman" w:hAnsi="Times New Roman" w:cs="Times New Roman"/>
                <w:sz w:val="18"/>
                <w:szCs w:val="18"/>
                <w:lang w:eastAsia="ru-RU"/>
              </w:rPr>
              <w:t>»</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1 664</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608</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173,84</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A+</w:t>
            </w:r>
          </w:p>
        </w:tc>
      </w:tr>
      <w:tr w:rsidR="00E85BD5" w:rsidRPr="00A77B1F" w:rsidTr="00F2710E">
        <w:trPr>
          <w:trHeight w:val="20"/>
        </w:trPr>
        <w:tc>
          <w:tcPr>
            <w:tcW w:w="449" w:type="pct"/>
            <w:tcBorders>
              <w:top w:val="nil"/>
              <w:left w:val="single" w:sz="4" w:space="0" w:color="auto"/>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30</w:t>
            </w:r>
          </w:p>
        </w:tc>
        <w:tc>
          <w:tcPr>
            <w:tcW w:w="44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2763</w:t>
            </w:r>
          </w:p>
        </w:tc>
        <w:tc>
          <w:tcPr>
            <w:tcW w:w="153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 xml:space="preserve">АКБ </w:t>
            </w:r>
            <w:r w:rsidR="003F7862">
              <w:rPr>
                <w:rFonts w:ascii="Times New Roman" w:eastAsia="Times New Roman" w:hAnsi="Times New Roman" w:cs="Times New Roman"/>
                <w:sz w:val="18"/>
                <w:szCs w:val="18"/>
                <w:lang w:eastAsia="ru-RU"/>
              </w:rPr>
              <w:t>«</w:t>
            </w:r>
            <w:proofErr w:type="spellStart"/>
            <w:r w:rsidRPr="00A77B1F">
              <w:rPr>
                <w:rFonts w:ascii="Times New Roman" w:eastAsia="Times New Roman" w:hAnsi="Times New Roman" w:cs="Times New Roman"/>
                <w:sz w:val="18"/>
                <w:szCs w:val="18"/>
                <w:lang w:eastAsia="ru-RU"/>
              </w:rPr>
              <w:t>Инвестторгбанк</w:t>
            </w:r>
            <w:proofErr w:type="spellEnd"/>
            <w:r w:rsidR="003F7862">
              <w:rPr>
                <w:rFonts w:ascii="Times New Roman" w:eastAsia="Times New Roman" w:hAnsi="Times New Roman" w:cs="Times New Roman"/>
                <w:sz w:val="18"/>
                <w:szCs w:val="18"/>
                <w:lang w:eastAsia="ru-RU"/>
              </w:rPr>
              <w:t>»</w:t>
            </w:r>
            <w:r w:rsidRPr="00A77B1F">
              <w:rPr>
                <w:rFonts w:ascii="Times New Roman" w:eastAsia="Times New Roman" w:hAnsi="Times New Roman" w:cs="Times New Roman"/>
                <w:sz w:val="18"/>
                <w:szCs w:val="18"/>
                <w:lang w:eastAsia="ru-RU"/>
              </w:rPr>
              <w:t xml:space="preserve"> (ОАО)</w:t>
            </w:r>
          </w:p>
        </w:tc>
        <w:tc>
          <w:tcPr>
            <w:tcW w:w="60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1 628</w:t>
            </w:r>
          </w:p>
        </w:tc>
        <w:tc>
          <w:tcPr>
            <w:tcW w:w="569"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1 570</w:t>
            </w:r>
          </w:p>
        </w:tc>
        <w:tc>
          <w:tcPr>
            <w:tcW w:w="641" w:type="pct"/>
            <w:tcBorders>
              <w:top w:val="nil"/>
              <w:left w:val="nil"/>
              <w:bottom w:val="double" w:sz="6" w:space="0" w:color="auto"/>
              <w:right w:val="nil"/>
            </w:tcBorders>
            <w:shd w:val="clear" w:color="auto" w:fill="auto"/>
            <w:noWrap/>
            <w:vAlign w:val="bottom"/>
            <w:hideMark/>
          </w:tcPr>
          <w:p w:rsidR="00E85BD5" w:rsidRPr="00A77B1F" w:rsidRDefault="00E85BD5" w:rsidP="00F2710E">
            <w:pPr>
              <w:spacing w:after="0" w:line="240" w:lineRule="auto"/>
              <w:jc w:val="right"/>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3,72</w:t>
            </w:r>
          </w:p>
        </w:tc>
        <w:tc>
          <w:tcPr>
            <w:tcW w:w="751" w:type="pct"/>
            <w:tcBorders>
              <w:top w:val="nil"/>
              <w:left w:val="nil"/>
              <w:bottom w:val="double" w:sz="6" w:space="0" w:color="auto"/>
              <w:right w:val="single" w:sz="4" w:space="0" w:color="auto"/>
            </w:tcBorders>
            <w:shd w:val="clear" w:color="auto" w:fill="auto"/>
            <w:noWrap/>
            <w:vAlign w:val="bottom"/>
            <w:hideMark/>
          </w:tcPr>
          <w:p w:rsidR="00E85BD5" w:rsidRPr="00A77B1F" w:rsidRDefault="00E85BD5" w:rsidP="00F2710E">
            <w:pPr>
              <w:spacing w:after="0" w:line="240" w:lineRule="auto"/>
              <w:jc w:val="center"/>
              <w:rPr>
                <w:rFonts w:ascii="Times New Roman" w:eastAsia="Times New Roman" w:hAnsi="Times New Roman" w:cs="Times New Roman"/>
                <w:sz w:val="18"/>
                <w:szCs w:val="18"/>
                <w:lang w:eastAsia="ru-RU"/>
              </w:rPr>
            </w:pPr>
            <w:r w:rsidRPr="00A77B1F">
              <w:rPr>
                <w:rFonts w:ascii="Times New Roman" w:eastAsia="Times New Roman" w:hAnsi="Times New Roman" w:cs="Times New Roman"/>
                <w:sz w:val="18"/>
                <w:szCs w:val="18"/>
                <w:lang w:eastAsia="ru-RU"/>
              </w:rPr>
              <w:t>-</w:t>
            </w:r>
          </w:p>
        </w:tc>
      </w:tr>
    </w:tbl>
    <w:p w:rsidR="00DB6059" w:rsidRPr="005F1178" w:rsidRDefault="009E10A2" w:rsidP="0080651F">
      <w:pPr>
        <w:ind w:left="142"/>
        <w:jc w:val="right"/>
        <w:rPr>
          <w:rFonts w:ascii="Times New Roman" w:hAnsi="Times New Roman"/>
          <w:sz w:val="18"/>
          <w:szCs w:val="18"/>
        </w:rPr>
      </w:pPr>
      <w:r w:rsidRPr="009E10A2">
        <w:rPr>
          <w:b/>
          <w:i/>
          <w:sz w:val="20"/>
          <w:szCs w:val="20"/>
        </w:rPr>
        <w:t xml:space="preserve"> </w:t>
      </w:r>
      <w:r w:rsidRPr="005F1178">
        <w:rPr>
          <w:b/>
          <w:i/>
          <w:sz w:val="20"/>
          <w:szCs w:val="20"/>
        </w:rPr>
        <w:t>Источник:</w:t>
      </w:r>
      <w:r w:rsidRPr="005F1178">
        <w:rPr>
          <w:i/>
          <w:sz w:val="20"/>
          <w:szCs w:val="20"/>
        </w:rPr>
        <w:t xml:space="preserve"> оценка «Эксперта РА»</w:t>
      </w:r>
      <w:r>
        <w:rPr>
          <w:i/>
          <w:sz w:val="20"/>
          <w:szCs w:val="20"/>
        </w:rPr>
        <w:t xml:space="preserve"> по данным Банка России</w:t>
      </w:r>
    </w:p>
    <w:p w:rsidR="00330D46" w:rsidRPr="005F1178" w:rsidRDefault="00330D46" w:rsidP="00330D46">
      <w:pPr>
        <w:ind w:left="142"/>
        <w:jc w:val="center"/>
        <w:rPr>
          <w:rFonts w:ascii="Times New Roman" w:hAnsi="Times New Roman"/>
          <w:b/>
          <w:sz w:val="20"/>
          <w:szCs w:val="20"/>
        </w:rPr>
      </w:pPr>
    </w:p>
    <w:p w:rsidR="00143F8B" w:rsidRPr="005F1178" w:rsidRDefault="00143F8B" w:rsidP="00143F8B">
      <w:pPr>
        <w:pStyle w:val="1"/>
        <w:jc w:val="both"/>
      </w:pPr>
      <w:r w:rsidRPr="005F1178">
        <w:t>ПРИЛОЖЕНИЕ 3. Рейтинг-лист «Эксперт</w:t>
      </w:r>
      <w:r w:rsidR="003F7862">
        <w:t>а</w:t>
      </w:r>
      <w:r w:rsidRPr="005F1178">
        <w:t xml:space="preserve"> РА»</w:t>
      </w:r>
    </w:p>
    <w:p w:rsidR="00143F8B" w:rsidRPr="005F1178" w:rsidRDefault="00143F8B" w:rsidP="00143F8B">
      <w:pPr>
        <w:rPr>
          <w:lang w:eastAsia="ru-RU"/>
        </w:rPr>
      </w:pPr>
    </w:p>
    <w:p w:rsidR="00143F8B" w:rsidRPr="005F1178" w:rsidRDefault="00143F8B" w:rsidP="00143F8B">
      <w:pPr>
        <w:pStyle w:val="1"/>
        <w:jc w:val="both"/>
      </w:pPr>
      <w:r w:rsidRPr="005F1178">
        <w:lastRenderedPageBreak/>
        <w:t>ПРИЛОЖЕНИЕ 4. О рейтинговом агентстве «Эксперт РА»</w:t>
      </w:r>
    </w:p>
    <w:p w:rsidR="00143F8B" w:rsidRPr="005F1178" w:rsidRDefault="00143F8B" w:rsidP="00143F8B"/>
    <w:p w:rsidR="00F2710E" w:rsidRPr="0051514D" w:rsidRDefault="00F2710E" w:rsidP="00F2710E">
      <w:pPr>
        <w:spacing w:after="0" w:line="240" w:lineRule="auto"/>
        <w:ind w:firstLine="720"/>
        <w:jc w:val="both"/>
        <w:rPr>
          <w:rFonts w:ascii="Times New Roman" w:eastAsia="Times New Roman" w:hAnsi="Times New Roman"/>
          <w:sz w:val="24"/>
          <w:szCs w:val="24"/>
          <w:lang w:eastAsia="ru-RU"/>
        </w:rPr>
      </w:pPr>
      <w:r w:rsidRPr="0051514D">
        <w:rPr>
          <w:rFonts w:ascii="Times New Roman" w:eastAsia="Times New Roman" w:hAnsi="Times New Roman"/>
          <w:sz w:val="24"/>
          <w:szCs w:val="24"/>
          <w:lang w:eastAsia="ru-RU"/>
        </w:rPr>
        <w:t>«Эксперт</w:t>
      </w:r>
      <w:r>
        <w:rPr>
          <w:rFonts w:ascii="Times New Roman" w:eastAsia="Times New Roman" w:hAnsi="Times New Roman"/>
          <w:sz w:val="24"/>
          <w:szCs w:val="24"/>
          <w:lang w:eastAsia="ru-RU"/>
        </w:rPr>
        <w:t> </w:t>
      </w:r>
      <w:r w:rsidRPr="0051514D">
        <w:rPr>
          <w:rFonts w:ascii="Times New Roman" w:eastAsia="Times New Roman" w:hAnsi="Times New Roman"/>
          <w:sz w:val="24"/>
          <w:szCs w:val="24"/>
          <w:lang w:eastAsia="ru-RU"/>
        </w:rPr>
        <w:t>РА» – ведущее национальное рейтинговое агентство в России</w:t>
      </w:r>
      <w:r w:rsidRPr="00F879D5">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c</w:t>
      </w:r>
      <w:r w:rsidRPr="00F879D5">
        <w:rPr>
          <w:rFonts w:ascii="Times New Roman" w:eastAsia="Times New Roman" w:hAnsi="Times New Roman"/>
          <w:sz w:val="24"/>
          <w:szCs w:val="24"/>
          <w:lang w:eastAsia="ru-RU"/>
        </w:rPr>
        <w:t xml:space="preserve"> 15-</w:t>
      </w:r>
      <w:r>
        <w:rPr>
          <w:rFonts w:ascii="Times New Roman" w:eastAsia="Times New Roman" w:hAnsi="Times New Roman"/>
          <w:sz w:val="24"/>
          <w:szCs w:val="24"/>
          <w:lang w:eastAsia="ru-RU"/>
        </w:rPr>
        <w:t>летней историей</w:t>
      </w:r>
      <w:r w:rsidRPr="0051514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«Эксперт РА»</w:t>
      </w:r>
      <w:r w:rsidRPr="0051514D">
        <w:rPr>
          <w:rFonts w:ascii="Times New Roman" w:eastAsia="Times New Roman" w:hAnsi="Times New Roman"/>
          <w:sz w:val="24"/>
          <w:szCs w:val="24"/>
          <w:lang w:eastAsia="ru-RU"/>
        </w:rPr>
        <w:t xml:space="preserve"> является лидером в области </w:t>
      </w:r>
      <w:proofErr w:type="spellStart"/>
      <w:r w:rsidRPr="0051514D">
        <w:rPr>
          <w:rFonts w:ascii="Times New Roman" w:eastAsia="Times New Roman" w:hAnsi="Times New Roman"/>
          <w:sz w:val="24"/>
          <w:szCs w:val="24"/>
          <w:lang w:eastAsia="ru-RU"/>
        </w:rPr>
        <w:t>рейтингования</w:t>
      </w:r>
      <w:proofErr w:type="spellEnd"/>
      <w:r w:rsidRPr="0051514D">
        <w:rPr>
          <w:rFonts w:ascii="Times New Roman" w:eastAsia="Times New Roman" w:hAnsi="Times New Roman"/>
          <w:sz w:val="24"/>
          <w:szCs w:val="24"/>
          <w:lang w:eastAsia="ru-RU"/>
        </w:rPr>
        <w:t>, а</w:t>
      </w:r>
      <w:r>
        <w:rPr>
          <w:rFonts w:ascii="Times New Roman" w:eastAsia="Times New Roman" w:hAnsi="Times New Roman"/>
          <w:sz w:val="24"/>
          <w:szCs w:val="24"/>
          <w:lang w:eastAsia="ru-RU"/>
        </w:rPr>
        <w:t> </w:t>
      </w:r>
      <w:r w:rsidRPr="0051514D">
        <w:rPr>
          <w:rFonts w:ascii="Times New Roman" w:eastAsia="Times New Roman" w:hAnsi="Times New Roman"/>
          <w:sz w:val="24"/>
          <w:szCs w:val="24"/>
          <w:lang w:eastAsia="ru-RU"/>
        </w:rPr>
        <w:t xml:space="preserve">также </w:t>
      </w:r>
      <w:proofErr w:type="spellStart"/>
      <w:r w:rsidRPr="0051514D">
        <w:rPr>
          <w:rFonts w:ascii="Times New Roman" w:eastAsia="Times New Roman" w:hAnsi="Times New Roman"/>
          <w:sz w:val="24"/>
          <w:szCs w:val="24"/>
          <w:lang w:eastAsia="ru-RU"/>
        </w:rPr>
        <w:t>исследовательско</w:t>
      </w:r>
      <w:proofErr w:type="spellEnd"/>
      <w:r w:rsidRPr="0051514D">
        <w:rPr>
          <w:rFonts w:ascii="Times New Roman" w:eastAsia="Times New Roman" w:hAnsi="Times New Roman"/>
          <w:sz w:val="24"/>
          <w:szCs w:val="24"/>
          <w:lang w:eastAsia="ru-RU"/>
        </w:rPr>
        <w:t xml:space="preserve">-коммуникационной деятельности. </w:t>
      </w:r>
    </w:p>
    <w:p w:rsidR="00F2710E" w:rsidRDefault="00F2710E" w:rsidP="00F2710E">
      <w:pPr>
        <w:spacing w:after="0" w:line="240" w:lineRule="auto"/>
        <w:ind w:firstLine="720"/>
        <w:jc w:val="both"/>
        <w:rPr>
          <w:rFonts w:ascii="Times New Roman" w:eastAsia="Times New Roman" w:hAnsi="Times New Roman"/>
          <w:sz w:val="24"/>
          <w:szCs w:val="24"/>
          <w:lang w:eastAsia="ru-RU"/>
        </w:rPr>
      </w:pPr>
      <w:r w:rsidRPr="008A4C79">
        <w:rPr>
          <w:rFonts w:ascii="Times New Roman" w:eastAsia="Times New Roman" w:hAnsi="Times New Roman"/>
          <w:b/>
          <w:sz w:val="24"/>
          <w:szCs w:val="24"/>
          <w:lang w:eastAsia="ru-RU"/>
        </w:rPr>
        <w:t>Рейтинги.</w:t>
      </w:r>
      <w:r w:rsidRPr="0051514D">
        <w:rPr>
          <w:rFonts w:ascii="Times New Roman" w:eastAsia="Times New Roman" w:hAnsi="Times New Roman"/>
          <w:sz w:val="24"/>
          <w:szCs w:val="24"/>
          <w:lang w:eastAsia="ru-RU"/>
        </w:rPr>
        <w:t xml:space="preserve"> Рейтинговое агентство «Эксперт</w:t>
      </w:r>
      <w:r>
        <w:rPr>
          <w:rFonts w:ascii="Times New Roman" w:eastAsia="Times New Roman" w:hAnsi="Times New Roman"/>
          <w:sz w:val="24"/>
          <w:szCs w:val="24"/>
          <w:lang w:eastAsia="ru-RU"/>
        </w:rPr>
        <w:t> </w:t>
      </w:r>
      <w:r w:rsidRPr="0051514D">
        <w:rPr>
          <w:rFonts w:ascii="Times New Roman" w:eastAsia="Times New Roman" w:hAnsi="Times New Roman"/>
          <w:sz w:val="24"/>
          <w:szCs w:val="24"/>
          <w:lang w:eastAsia="ru-RU"/>
        </w:rPr>
        <w:t>РА» аккредитовано при Минфине</w:t>
      </w:r>
      <w:r>
        <w:rPr>
          <w:rFonts w:ascii="Times New Roman" w:eastAsia="Times New Roman" w:hAnsi="Times New Roman"/>
          <w:sz w:val="24"/>
          <w:szCs w:val="24"/>
          <w:lang w:eastAsia="ru-RU"/>
        </w:rPr>
        <w:t> </w:t>
      </w:r>
      <w:r w:rsidRPr="0051514D">
        <w:rPr>
          <w:rFonts w:ascii="Times New Roman" w:eastAsia="Times New Roman" w:hAnsi="Times New Roman"/>
          <w:sz w:val="24"/>
          <w:szCs w:val="24"/>
          <w:lang w:eastAsia="ru-RU"/>
        </w:rPr>
        <w:t>РФ. На</w:t>
      </w:r>
      <w:r>
        <w:rPr>
          <w:rFonts w:ascii="Times New Roman" w:eastAsia="Times New Roman" w:hAnsi="Times New Roman"/>
          <w:sz w:val="24"/>
          <w:szCs w:val="24"/>
          <w:lang w:eastAsia="ru-RU"/>
        </w:rPr>
        <w:t> </w:t>
      </w:r>
      <w:r w:rsidRPr="0051514D">
        <w:rPr>
          <w:rFonts w:ascii="Times New Roman" w:eastAsia="Times New Roman" w:hAnsi="Times New Roman"/>
          <w:sz w:val="24"/>
          <w:szCs w:val="24"/>
          <w:lang w:eastAsia="ru-RU"/>
        </w:rPr>
        <w:t xml:space="preserve">сегодняшний день </w:t>
      </w:r>
      <w:r>
        <w:rPr>
          <w:rFonts w:ascii="Times New Roman" w:eastAsia="Times New Roman" w:hAnsi="Times New Roman"/>
          <w:sz w:val="24"/>
          <w:szCs w:val="24"/>
          <w:lang w:eastAsia="ru-RU"/>
        </w:rPr>
        <w:t>а</w:t>
      </w:r>
      <w:r w:rsidRPr="0051514D">
        <w:rPr>
          <w:rFonts w:ascii="Times New Roman" w:eastAsia="Times New Roman" w:hAnsi="Times New Roman"/>
          <w:sz w:val="24"/>
          <w:szCs w:val="24"/>
          <w:lang w:eastAsia="ru-RU"/>
        </w:rPr>
        <w:t xml:space="preserve">гентством присвоено </w:t>
      </w:r>
      <w:r>
        <w:rPr>
          <w:rFonts w:ascii="Times New Roman" w:eastAsia="Times New Roman" w:hAnsi="Times New Roman"/>
          <w:sz w:val="24"/>
          <w:szCs w:val="24"/>
          <w:lang w:eastAsia="ru-RU"/>
        </w:rPr>
        <w:t>около 6</w:t>
      </w:r>
      <w:r w:rsidRPr="00F2710E">
        <w:rPr>
          <w:rFonts w:ascii="Times New Roman" w:eastAsia="Times New Roman" w:hAnsi="Times New Roman"/>
          <w:sz w:val="24"/>
          <w:szCs w:val="24"/>
          <w:lang w:eastAsia="ru-RU"/>
        </w:rPr>
        <w:t>00</w:t>
      </w:r>
      <w:r>
        <w:rPr>
          <w:rFonts w:ascii="Times New Roman" w:eastAsia="Times New Roman" w:hAnsi="Times New Roman"/>
          <w:sz w:val="24"/>
          <w:szCs w:val="24"/>
          <w:lang w:eastAsia="ru-RU"/>
        </w:rPr>
        <w:t> </w:t>
      </w:r>
      <w:r w:rsidRPr="0051514D">
        <w:rPr>
          <w:rFonts w:ascii="Times New Roman" w:eastAsia="Times New Roman" w:hAnsi="Times New Roman"/>
          <w:sz w:val="24"/>
          <w:szCs w:val="24"/>
          <w:lang w:eastAsia="ru-RU"/>
        </w:rPr>
        <w:t>индивидуальных рейтингов</w:t>
      </w:r>
      <w:r w:rsidRPr="00B179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«Эксперт РА» – крупнейшее в России и СНГ рейтинговое агентство, по числу рейтингов компаний и банков в странах СНГ опережающее не только другие российские, но и международные агентства. «Эксперту РА» принадлежит 1</w:t>
      </w:r>
      <w:r w:rsidRPr="00C55F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е место и 40% от общего числа присвоенных рейтингов в России, 1-е место </w:t>
      </w:r>
      <w:r w:rsidRPr="00F879D5">
        <w:rPr>
          <w:rFonts w:ascii="Times New Roman" w:eastAsia="Times New Roman" w:hAnsi="Times New Roman"/>
          <w:sz w:val="24"/>
          <w:szCs w:val="24"/>
          <w:lang w:eastAsia="ru-RU"/>
        </w:rPr>
        <w:t>по чи</w:t>
      </w:r>
      <w:r>
        <w:rPr>
          <w:rFonts w:ascii="Times New Roman" w:eastAsia="Times New Roman" w:hAnsi="Times New Roman"/>
          <w:sz w:val="24"/>
          <w:szCs w:val="24"/>
          <w:lang w:eastAsia="ru-RU"/>
        </w:rPr>
        <w:t>слу рейтингов банков, страховых и</w:t>
      </w:r>
      <w:r w:rsidRPr="00F879D5">
        <w:rPr>
          <w:rFonts w:ascii="Times New Roman" w:eastAsia="Times New Roman" w:hAnsi="Times New Roman"/>
          <w:sz w:val="24"/>
          <w:szCs w:val="24"/>
          <w:lang w:eastAsia="ru-RU"/>
        </w:rPr>
        <w:t xml:space="preserve"> лизинговых компаний, НПФ, </w:t>
      </w:r>
      <w:proofErr w:type="spellStart"/>
      <w:r w:rsidRPr="00F879D5">
        <w:rPr>
          <w:rFonts w:ascii="Times New Roman" w:eastAsia="Times New Roman" w:hAnsi="Times New Roman"/>
          <w:sz w:val="24"/>
          <w:szCs w:val="24"/>
          <w:lang w:eastAsia="ru-RU"/>
        </w:rPr>
        <w:t>микрофинансовых</w:t>
      </w:r>
      <w:proofErr w:type="spellEnd"/>
      <w:r w:rsidRPr="00F879D5">
        <w:rPr>
          <w:rFonts w:ascii="Times New Roman" w:eastAsia="Times New Roman" w:hAnsi="Times New Roman"/>
          <w:sz w:val="24"/>
          <w:szCs w:val="24"/>
          <w:lang w:eastAsia="ru-RU"/>
        </w:rPr>
        <w:t xml:space="preserve"> организаций</w:t>
      </w:r>
      <w:r>
        <w:rPr>
          <w:rFonts w:ascii="Times New Roman" w:eastAsia="Times New Roman" w:hAnsi="Times New Roman"/>
          <w:sz w:val="24"/>
          <w:szCs w:val="24"/>
          <w:lang w:eastAsia="ru-RU"/>
        </w:rPr>
        <w:t>,</w:t>
      </w:r>
      <w:r w:rsidRPr="00F879D5">
        <w:rPr>
          <w:rFonts w:ascii="Times New Roman" w:eastAsia="Times New Roman" w:hAnsi="Times New Roman"/>
          <w:sz w:val="24"/>
          <w:szCs w:val="24"/>
          <w:lang w:eastAsia="ru-RU"/>
        </w:rPr>
        <w:t xml:space="preserve"> гарантийных фондов</w:t>
      </w:r>
      <w:r>
        <w:rPr>
          <w:rFonts w:ascii="Times New Roman" w:eastAsia="Times New Roman" w:hAnsi="Times New Roman"/>
          <w:sz w:val="24"/>
          <w:szCs w:val="24"/>
          <w:lang w:eastAsia="ru-RU"/>
        </w:rPr>
        <w:t xml:space="preserve"> и компаний нефинансового сектора</w:t>
      </w:r>
      <w:r w:rsidRPr="00F879D5">
        <w:rPr>
          <w:rFonts w:ascii="Times New Roman" w:eastAsia="Times New Roman" w:hAnsi="Times New Roman"/>
          <w:sz w:val="24"/>
          <w:szCs w:val="24"/>
          <w:lang w:eastAsia="ru-RU"/>
        </w:rPr>
        <w:t>.</w:t>
      </w:r>
      <w:r>
        <w:rPr>
          <w:rFonts w:ascii="Tahoma" w:eastAsia="Times New Roman" w:hAnsi="Tahoma" w:cs="Tahoma"/>
          <w:color w:val="000000"/>
          <w:sz w:val="18"/>
          <w:szCs w:val="18"/>
          <w:shd w:val="clear" w:color="auto" w:fill="DDE6F4"/>
          <w:lang w:eastAsia="ru-RU"/>
        </w:rPr>
        <w:t xml:space="preserve"> </w:t>
      </w:r>
    </w:p>
    <w:p w:rsidR="00F2710E" w:rsidRDefault="00F2710E" w:rsidP="00F2710E">
      <w:pPr>
        <w:spacing w:after="0" w:line="240" w:lineRule="auto"/>
        <w:ind w:firstLine="720"/>
        <w:jc w:val="both"/>
        <w:rPr>
          <w:rFonts w:ascii="Times New Roman" w:eastAsia="Times New Roman" w:hAnsi="Times New Roman"/>
          <w:sz w:val="24"/>
          <w:szCs w:val="24"/>
          <w:lang w:eastAsia="ru-RU"/>
        </w:rPr>
      </w:pPr>
      <w:r w:rsidRPr="008A4C79">
        <w:rPr>
          <w:rFonts w:ascii="Times New Roman" w:eastAsia="Times New Roman" w:hAnsi="Times New Roman"/>
          <w:sz w:val="24"/>
          <w:szCs w:val="24"/>
          <w:lang w:eastAsia="ru-RU"/>
        </w:rPr>
        <w:t>Рейтинги «Эксперта</w:t>
      </w:r>
      <w:r>
        <w:rPr>
          <w:rFonts w:ascii="Times New Roman" w:eastAsia="Times New Roman" w:hAnsi="Times New Roman"/>
          <w:sz w:val="24"/>
          <w:szCs w:val="24"/>
          <w:lang w:eastAsia="ru-RU"/>
        </w:rPr>
        <w:t> </w:t>
      </w:r>
      <w:r w:rsidRPr="008A4C79">
        <w:rPr>
          <w:rFonts w:ascii="Times New Roman" w:eastAsia="Times New Roman" w:hAnsi="Times New Roman"/>
          <w:sz w:val="24"/>
          <w:szCs w:val="24"/>
          <w:lang w:eastAsia="ru-RU"/>
        </w:rPr>
        <w:t xml:space="preserve">РА» </w:t>
      </w:r>
      <w:r>
        <w:rPr>
          <w:rFonts w:ascii="Times New Roman" w:eastAsia="Times New Roman" w:hAnsi="Times New Roman"/>
          <w:sz w:val="24"/>
          <w:szCs w:val="24"/>
          <w:lang w:eastAsia="ru-RU"/>
        </w:rPr>
        <w:t xml:space="preserve">входят в список официальных требований к банкам, страховщикам, пенсионным фондам, эмитентам. Агентство официально признано </w:t>
      </w:r>
      <w:r w:rsidRPr="008A4C79">
        <w:rPr>
          <w:rFonts w:ascii="Times New Roman" w:eastAsia="Times New Roman" w:hAnsi="Times New Roman"/>
          <w:sz w:val="24"/>
          <w:szCs w:val="24"/>
          <w:lang w:eastAsia="ru-RU"/>
        </w:rPr>
        <w:t>ФСФ</w:t>
      </w:r>
      <w:r>
        <w:rPr>
          <w:rFonts w:ascii="Times New Roman" w:eastAsia="Times New Roman" w:hAnsi="Times New Roman"/>
          <w:sz w:val="24"/>
          <w:szCs w:val="24"/>
          <w:lang w:eastAsia="ru-RU"/>
        </w:rPr>
        <w:t>Р, Центральным банком России</w:t>
      </w:r>
      <w:r w:rsidRPr="008A4C79">
        <w:rPr>
          <w:rFonts w:ascii="Times New Roman" w:eastAsia="Times New Roman" w:hAnsi="Times New Roman"/>
          <w:sz w:val="24"/>
          <w:szCs w:val="24"/>
          <w:lang w:eastAsia="ru-RU"/>
        </w:rPr>
        <w:t>, Внешэкономбанк</w:t>
      </w:r>
      <w:r>
        <w:rPr>
          <w:rFonts w:ascii="Times New Roman" w:eastAsia="Times New Roman" w:hAnsi="Times New Roman"/>
          <w:sz w:val="24"/>
          <w:szCs w:val="24"/>
          <w:lang w:eastAsia="ru-RU"/>
        </w:rPr>
        <w:t>ом</w:t>
      </w:r>
      <w:r w:rsidRPr="008A4C79">
        <w:rPr>
          <w:rFonts w:ascii="Times New Roman" w:eastAsia="Times New Roman" w:hAnsi="Times New Roman"/>
          <w:sz w:val="24"/>
          <w:szCs w:val="24"/>
          <w:lang w:eastAsia="ru-RU"/>
        </w:rPr>
        <w:t xml:space="preserve"> России, </w:t>
      </w:r>
      <w:r>
        <w:rPr>
          <w:rFonts w:ascii="Times New Roman" w:eastAsia="Times New Roman" w:hAnsi="Times New Roman"/>
          <w:sz w:val="24"/>
          <w:szCs w:val="24"/>
          <w:lang w:eastAsia="ru-RU"/>
        </w:rPr>
        <w:t>Московской биржей</w:t>
      </w:r>
      <w:r w:rsidRPr="008A4C79">
        <w:rPr>
          <w:rFonts w:ascii="Times New Roman" w:eastAsia="Times New Roman" w:hAnsi="Times New Roman"/>
          <w:sz w:val="24"/>
          <w:szCs w:val="24"/>
          <w:lang w:eastAsia="ru-RU"/>
        </w:rPr>
        <w:t>, Агентство</w:t>
      </w:r>
      <w:r>
        <w:rPr>
          <w:rFonts w:ascii="Times New Roman" w:eastAsia="Times New Roman" w:hAnsi="Times New Roman"/>
          <w:sz w:val="24"/>
          <w:szCs w:val="24"/>
          <w:lang w:eastAsia="ru-RU"/>
        </w:rPr>
        <w:t>м</w:t>
      </w:r>
      <w:r w:rsidRPr="008A4C79">
        <w:rPr>
          <w:rFonts w:ascii="Times New Roman" w:eastAsia="Times New Roman" w:hAnsi="Times New Roman"/>
          <w:sz w:val="24"/>
          <w:szCs w:val="24"/>
          <w:lang w:eastAsia="ru-RU"/>
        </w:rPr>
        <w:t xml:space="preserve"> по ипотечному жилищному кредитованию, Агентство</w:t>
      </w:r>
      <w:r>
        <w:rPr>
          <w:rFonts w:ascii="Times New Roman" w:eastAsia="Times New Roman" w:hAnsi="Times New Roman"/>
          <w:sz w:val="24"/>
          <w:szCs w:val="24"/>
          <w:lang w:eastAsia="ru-RU"/>
        </w:rPr>
        <w:t>м</w:t>
      </w:r>
      <w:r w:rsidRPr="008A4C79">
        <w:rPr>
          <w:rFonts w:ascii="Times New Roman" w:eastAsia="Times New Roman" w:hAnsi="Times New Roman"/>
          <w:sz w:val="24"/>
          <w:szCs w:val="24"/>
          <w:lang w:eastAsia="ru-RU"/>
        </w:rPr>
        <w:t xml:space="preserve"> по страхованию вкладов, профессиональны</w:t>
      </w:r>
      <w:r>
        <w:rPr>
          <w:rFonts w:ascii="Times New Roman" w:eastAsia="Times New Roman" w:hAnsi="Times New Roman"/>
          <w:sz w:val="24"/>
          <w:szCs w:val="24"/>
          <w:lang w:eastAsia="ru-RU"/>
        </w:rPr>
        <w:t>ми</w:t>
      </w:r>
      <w:r w:rsidRPr="008A4C79">
        <w:rPr>
          <w:rFonts w:ascii="Times New Roman" w:eastAsia="Times New Roman" w:hAnsi="Times New Roman"/>
          <w:sz w:val="24"/>
          <w:szCs w:val="24"/>
          <w:lang w:eastAsia="ru-RU"/>
        </w:rPr>
        <w:t xml:space="preserve"> ассоциаци</w:t>
      </w:r>
      <w:r>
        <w:rPr>
          <w:rFonts w:ascii="Times New Roman" w:eastAsia="Times New Roman" w:hAnsi="Times New Roman"/>
          <w:sz w:val="24"/>
          <w:szCs w:val="24"/>
          <w:lang w:eastAsia="ru-RU"/>
        </w:rPr>
        <w:t>ями</w:t>
      </w:r>
      <w:r w:rsidRPr="008A4C79">
        <w:rPr>
          <w:rFonts w:ascii="Times New Roman" w:eastAsia="Times New Roman" w:hAnsi="Times New Roman"/>
          <w:sz w:val="24"/>
          <w:szCs w:val="24"/>
          <w:lang w:eastAsia="ru-RU"/>
        </w:rPr>
        <w:t xml:space="preserve"> и саморегулируемы</w:t>
      </w:r>
      <w:r>
        <w:rPr>
          <w:rFonts w:ascii="Times New Roman" w:eastAsia="Times New Roman" w:hAnsi="Times New Roman"/>
          <w:sz w:val="24"/>
          <w:szCs w:val="24"/>
          <w:lang w:eastAsia="ru-RU"/>
        </w:rPr>
        <w:t>ми</w:t>
      </w:r>
      <w:r w:rsidRPr="008A4C79">
        <w:rPr>
          <w:rFonts w:ascii="Times New Roman" w:eastAsia="Times New Roman" w:hAnsi="Times New Roman"/>
          <w:sz w:val="24"/>
          <w:szCs w:val="24"/>
          <w:lang w:eastAsia="ru-RU"/>
        </w:rPr>
        <w:t xml:space="preserve"> организаци</w:t>
      </w:r>
      <w:r>
        <w:rPr>
          <w:rFonts w:ascii="Times New Roman" w:eastAsia="Times New Roman" w:hAnsi="Times New Roman"/>
          <w:sz w:val="24"/>
          <w:szCs w:val="24"/>
          <w:lang w:eastAsia="ru-RU"/>
        </w:rPr>
        <w:t>ями</w:t>
      </w:r>
      <w:r w:rsidRPr="008A4C7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8A4C79">
        <w:rPr>
          <w:rFonts w:ascii="Times New Roman" w:eastAsia="Times New Roman" w:hAnsi="Times New Roman"/>
          <w:sz w:val="24"/>
          <w:szCs w:val="24"/>
          <w:lang w:eastAsia="ru-RU"/>
        </w:rPr>
        <w:t>ВСС, ассоциаци</w:t>
      </w:r>
      <w:r>
        <w:rPr>
          <w:rFonts w:ascii="Times New Roman" w:eastAsia="Times New Roman" w:hAnsi="Times New Roman"/>
          <w:sz w:val="24"/>
          <w:szCs w:val="24"/>
          <w:lang w:eastAsia="ru-RU"/>
        </w:rPr>
        <w:t>ей</w:t>
      </w:r>
      <w:r w:rsidRPr="008A4C79">
        <w:rPr>
          <w:rFonts w:ascii="Times New Roman" w:eastAsia="Times New Roman" w:hAnsi="Times New Roman"/>
          <w:sz w:val="24"/>
          <w:szCs w:val="24"/>
          <w:lang w:eastAsia="ru-RU"/>
        </w:rPr>
        <w:t xml:space="preserve"> «Россия»,</w:t>
      </w:r>
      <w:r>
        <w:rPr>
          <w:rFonts w:ascii="Times New Roman" w:eastAsia="Times New Roman" w:hAnsi="Times New Roman"/>
          <w:sz w:val="24"/>
          <w:szCs w:val="24"/>
          <w:lang w:eastAsia="ru-RU"/>
        </w:rPr>
        <w:t xml:space="preserve"> Агентством стратегических исследований,</w:t>
      </w:r>
      <w:r w:rsidRPr="008A4C79">
        <w:rPr>
          <w:rFonts w:ascii="Times New Roman" w:eastAsia="Times New Roman" w:hAnsi="Times New Roman"/>
          <w:sz w:val="24"/>
          <w:szCs w:val="24"/>
          <w:lang w:eastAsia="ru-RU"/>
        </w:rPr>
        <w:t xml:space="preserve"> РСА, НАПФ, НЛУ, НСГ, НФА</w:t>
      </w:r>
      <w:r>
        <w:rPr>
          <w:rFonts w:ascii="Times New Roman" w:eastAsia="Times New Roman" w:hAnsi="Times New Roman"/>
          <w:sz w:val="24"/>
          <w:szCs w:val="24"/>
          <w:lang w:eastAsia="ru-RU"/>
        </w:rPr>
        <w:t>)</w:t>
      </w:r>
      <w:r w:rsidRPr="008A4C79">
        <w:rPr>
          <w:rFonts w:ascii="Times New Roman" w:eastAsia="Times New Roman" w:hAnsi="Times New Roman"/>
          <w:sz w:val="24"/>
          <w:szCs w:val="24"/>
          <w:lang w:eastAsia="ru-RU"/>
        </w:rPr>
        <w:t>, а также сотн</w:t>
      </w:r>
      <w:r>
        <w:rPr>
          <w:rFonts w:ascii="Times New Roman" w:eastAsia="Times New Roman" w:hAnsi="Times New Roman"/>
          <w:sz w:val="24"/>
          <w:szCs w:val="24"/>
          <w:lang w:eastAsia="ru-RU"/>
        </w:rPr>
        <w:t>ями</w:t>
      </w:r>
      <w:r w:rsidRPr="008A4C79">
        <w:rPr>
          <w:rFonts w:ascii="Times New Roman" w:eastAsia="Times New Roman" w:hAnsi="Times New Roman"/>
          <w:sz w:val="24"/>
          <w:szCs w:val="24"/>
          <w:lang w:eastAsia="ru-RU"/>
        </w:rPr>
        <w:t xml:space="preserve"> компаний и органов власти при проведении конкурсов и тендеров.</w:t>
      </w:r>
    </w:p>
    <w:p w:rsidR="00F2710E" w:rsidRPr="0072507F" w:rsidRDefault="00F2710E" w:rsidP="00F2710E">
      <w:pPr>
        <w:spacing w:after="0" w:line="240" w:lineRule="auto"/>
        <w:ind w:firstLine="720"/>
        <w:jc w:val="both"/>
        <w:rPr>
          <w:rFonts w:ascii="Times New Roman" w:eastAsia="Times New Roman" w:hAnsi="Times New Roman"/>
          <w:sz w:val="24"/>
          <w:szCs w:val="24"/>
          <w:highlight w:val="yellow"/>
          <w:lang w:eastAsia="ru-RU"/>
        </w:rPr>
      </w:pPr>
      <w:r w:rsidRPr="008A4C79">
        <w:rPr>
          <w:rFonts w:ascii="Times New Roman" w:eastAsia="Times New Roman" w:hAnsi="Times New Roman"/>
          <w:b/>
          <w:sz w:val="24"/>
          <w:szCs w:val="24"/>
          <w:lang w:eastAsia="ru-RU"/>
        </w:rPr>
        <w:t>Исследования.</w:t>
      </w:r>
      <w:r w:rsidRPr="008A4C79">
        <w:rPr>
          <w:rFonts w:ascii="Times New Roman" w:eastAsia="Times New Roman" w:hAnsi="Times New Roman"/>
          <w:sz w:val="24"/>
          <w:szCs w:val="24"/>
          <w:lang w:eastAsia="ru-RU"/>
        </w:rPr>
        <w:t xml:space="preserve"> Более </w:t>
      </w:r>
      <w:r>
        <w:rPr>
          <w:rFonts w:ascii="Times New Roman" w:eastAsia="Times New Roman" w:hAnsi="Times New Roman"/>
          <w:sz w:val="24"/>
          <w:szCs w:val="24"/>
          <w:lang w:eastAsia="ru-RU"/>
        </w:rPr>
        <w:t xml:space="preserve">500 </w:t>
      </w:r>
      <w:r w:rsidRPr="008A4C79">
        <w:rPr>
          <w:rFonts w:ascii="Times New Roman" w:eastAsia="Times New Roman" w:hAnsi="Times New Roman"/>
          <w:sz w:val="24"/>
          <w:szCs w:val="24"/>
          <w:lang w:eastAsia="ru-RU"/>
        </w:rPr>
        <w:t xml:space="preserve">аналитических записок, исследований, обзоров </w:t>
      </w:r>
      <w:r>
        <w:rPr>
          <w:rFonts w:ascii="Times New Roman" w:eastAsia="Times New Roman" w:hAnsi="Times New Roman"/>
          <w:sz w:val="24"/>
          <w:szCs w:val="24"/>
          <w:lang w:eastAsia="ru-RU"/>
        </w:rPr>
        <w:t>готовит «Эксперт РА»</w:t>
      </w:r>
      <w:r w:rsidRPr="008A4C7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ежегодно. Среди них более 60 публичных исследований</w:t>
      </w:r>
      <w:r w:rsidRPr="008A4C79">
        <w:rPr>
          <w:rFonts w:ascii="Times New Roman" w:eastAsia="Times New Roman" w:hAnsi="Times New Roman"/>
          <w:sz w:val="24"/>
          <w:szCs w:val="24"/>
          <w:lang w:eastAsia="ru-RU"/>
        </w:rPr>
        <w:t xml:space="preserve">, отраслевых обзоров по страхованию, банкам, УК, лизинговым и </w:t>
      </w:r>
      <w:proofErr w:type="spellStart"/>
      <w:r w:rsidRPr="008A4C79">
        <w:rPr>
          <w:rFonts w:ascii="Times New Roman" w:eastAsia="Times New Roman" w:hAnsi="Times New Roman"/>
          <w:sz w:val="24"/>
          <w:szCs w:val="24"/>
          <w:lang w:eastAsia="ru-RU"/>
        </w:rPr>
        <w:t>факторинговым</w:t>
      </w:r>
      <w:proofErr w:type="spellEnd"/>
      <w:r w:rsidRPr="008A4C79">
        <w:rPr>
          <w:rFonts w:ascii="Times New Roman" w:eastAsia="Times New Roman" w:hAnsi="Times New Roman"/>
          <w:sz w:val="24"/>
          <w:szCs w:val="24"/>
          <w:lang w:eastAsia="ru-RU"/>
        </w:rPr>
        <w:t xml:space="preserve"> компаниям, аудиторам, консультантам и другим отраслям экономики. В </w:t>
      </w:r>
      <w:proofErr w:type="spellStart"/>
      <w:r w:rsidRPr="008A4C79">
        <w:rPr>
          <w:rFonts w:ascii="Times New Roman" w:eastAsia="Times New Roman" w:hAnsi="Times New Roman"/>
          <w:sz w:val="24"/>
          <w:szCs w:val="24"/>
          <w:lang w:eastAsia="ru-RU"/>
        </w:rPr>
        <w:t>рэнкингах</w:t>
      </w:r>
      <w:proofErr w:type="spellEnd"/>
      <w:r w:rsidRPr="008A4C7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w:t>
      </w:r>
      <w:r w:rsidRPr="008A4C79">
        <w:rPr>
          <w:rFonts w:ascii="Times New Roman" w:eastAsia="Times New Roman" w:hAnsi="Times New Roman"/>
          <w:sz w:val="24"/>
          <w:szCs w:val="24"/>
          <w:lang w:eastAsia="ru-RU"/>
        </w:rPr>
        <w:t>гентства принимает участие около 5</w:t>
      </w:r>
      <w:r>
        <w:rPr>
          <w:rFonts w:ascii="Times New Roman" w:eastAsia="Times New Roman" w:hAnsi="Times New Roman"/>
          <w:sz w:val="24"/>
          <w:szCs w:val="24"/>
          <w:lang w:eastAsia="ru-RU"/>
        </w:rPr>
        <w:t> </w:t>
      </w:r>
      <w:r w:rsidRPr="008A4C79">
        <w:rPr>
          <w:rFonts w:ascii="Times New Roman" w:eastAsia="Times New Roman" w:hAnsi="Times New Roman"/>
          <w:sz w:val="24"/>
          <w:szCs w:val="24"/>
          <w:lang w:eastAsia="ru-RU"/>
        </w:rPr>
        <w:t>000</w:t>
      </w:r>
      <w:r>
        <w:rPr>
          <w:rFonts w:ascii="Times New Roman" w:eastAsia="Times New Roman" w:hAnsi="Times New Roman"/>
          <w:sz w:val="24"/>
          <w:szCs w:val="24"/>
          <w:lang w:eastAsia="ru-RU"/>
        </w:rPr>
        <w:t> </w:t>
      </w:r>
      <w:r w:rsidRPr="008A4C79">
        <w:rPr>
          <w:rFonts w:ascii="Times New Roman" w:eastAsia="Times New Roman" w:hAnsi="Times New Roman"/>
          <w:sz w:val="24"/>
          <w:szCs w:val="24"/>
          <w:lang w:eastAsia="ru-RU"/>
        </w:rPr>
        <w:t xml:space="preserve">компаний различных сегментов экономики. База данных </w:t>
      </w:r>
      <w:r>
        <w:rPr>
          <w:rFonts w:ascii="Times New Roman" w:eastAsia="Times New Roman" w:hAnsi="Times New Roman"/>
          <w:sz w:val="24"/>
          <w:szCs w:val="24"/>
          <w:lang w:eastAsia="ru-RU"/>
        </w:rPr>
        <w:t>а</w:t>
      </w:r>
      <w:r w:rsidRPr="008A4C79">
        <w:rPr>
          <w:rFonts w:ascii="Times New Roman" w:eastAsia="Times New Roman" w:hAnsi="Times New Roman"/>
          <w:sz w:val="24"/>
          <w:szCs w:val="24"/>
          <w:lang w:eastAsia="ru-RU"/>
        </w:rPr>
        <w:t>гентства содержит порядка 20</w:t>
      </w:r>
      <w:r>
        <w:rPr>
          <w:rFonts w:ascii="Times New Roman" w:eastAsia="Times New Roman" w:hAnsi="Times New Roman"/>
          <w:sz w:val="24"/>
          <w:szCs w:val="24"/>
          <w:lang w:eastAsia="ru-RU"/>
        </w:rPr>
        <w:t> </w:t>
      </w:r>
      <w:r w:rsidRPr="008A4C79">
        <w:rPr>
          <w:rFonts w:ascii="Times New Roman" w:eastAsia="Times New Roman" w:hAnsi="Times New Roman"/>
          <w:sz w:val="24"/>
          <w:szCs w:val="24"/>
          <w:lang w:eastAsia="ru-RU"/>
        </w:rPr>
        <w:t>тыс. наименований компаний.</w:t>
      </w:r>
      <w:r>
        <w:rPr>
          <w:rFonts w:ascii="Times New Roman" w:eastAsia="Times New Roman" w:hAnsi="Times New Roman"/>
          <w:sz w:val="24"/>
          <w:szCs w:val="24"/>
          <w:lang w:eastAsia="ru-RU"/>
        </w:rPr>
        <w:t xml:space="preserve"> Одним из новых проектов агентства в 2012 году стал рейтинг вузов России. В скором времени «Эксперт РА» планирует составить рейтинг вузов СНГ. </w:t>
      </w:r>
    </w:p>
    <w:p w:rsidR="00F2710E" w:rsidRPr="00D91136" w:rsidRDefault="00F2710E" w:rsidP="00F2710E">
      <w:pPr>
        <w:spacing w:after="0" w:line="240" w:lineRule="auto"/>
        <w:ind w:firstLine="720"/>
        <w:jc w:val="both"/>
        <w:rPr>
          <w:rFonts w:ascii="Times New Roman" w:eastAsia="Times New Roman" w:hAnsi="Times New Roman"/>
          <w:sz w:val="24"/>
          <w:szCs w:val="24"/>
          <w:lang w:eastAsia="ru-RU"/>
        </w:rPr>
      </w:pPr>
      <w:r w:rsidRPr="00D91136">
        <w:rPr>
          <w:rFonts w:ascii="Times New Roman" w:eastAsia="Times New Roman" w:hAnsi="Times New Roman"/>
          <w:b/>
          <w:sz w:val="24"/>
          <w:szCs w:val="24"/>
          <w:lang w:eastAsia="ru-RU"/>
        </w:rPr>
        <w:t>Мероприятия.</w:t>
      </w:r>
      <w:r w:rsidRPr="00D91136">
        <w:rPr>
          <w:rFonts w:ascii="Times New Roman" w:eastAsia="Times New Roman" w:hAnsi="Times New Roman"/>
          <w:sz w:val="24"/>
          <w:szCs w:val="24"/>
          <w:lang w:eastAsia="ru-RU"/>
        </w:rPr>
        <w:t xml:space="preserve"> Ежегодно «Эксперт</w:t>
      </w:r>
      <w:r>
        <w:rPr>
          <w:rFonts w:ascii="Times New Roman" w:eastAsia="Times New Roman" w:hAnsi="Times New Roman"/>
          <w:sz w:val="24"/>
          <w:szCs w:val="24"/>
          <w:lang w:eastAsia="ru-RU"/>
        </w:rPr>
        <w:t> </w:t>
      </w:r>
      <w:r w:rsidRPr="00D91136">
        <w:rPr>
          <w:rFonts w:ascii="Times New Roman" w:eastAsia="Times New Roman" w:hAnsi="Times New Roman"/>
          <w:sz w:val="24"/>
          <w:szCs w:val="24"/>
          <w:lang w:eastAsia="ru-RU"/>
        </w:rPr>
        <w:t>РА» проводит форум</w:t>
      </w:r>
      <w:r>
        <w:rPr>
          <w:rFonts w:ascii="Times New Roman" w:eastAsia="Times New Roman" w:hAnsi="Times New Roman"/>
          <w:sz w:val="24"/>
          <w:szCs w:val="24"/>
          <w:lang w:eastAsia="ru-RU"/>
        </w:rPr>
        <w:t>ы</w:t>
      </w:r>
      <w:r w:rsidRPr="00D91136">
        <w:rPr>
          <w:rFonts w:ascii="Times New Roman" w:eastAsia="Times New Roman" w:hAnsi="Times New Roman"/>
          <w:sz w:val="24"/>
          <w:szCs w:val="24"/>
          <w:lang w:eastAsia="ru-RU"/>
        </w:rPr>
        <w:t>, конференци</w:t>
      </w:r>
      <w:r>
        <w:rPr>
          <w:rFonts w:ascii="Times New Roman" w:eastAsia="Times New Roman" w:hAnsi="Times New Roman"/>
          <w:sz w:val="24"/>
          <w:szCs w:val="24"/>
          <w:lang w:eastAsia="ru-RU"/>
        </w:rPr>
        <w:t>и</w:t>
      </w:r>
      <w:r w:rsidRPr="00D91136">
        <w:rPr>
          <w:rFonts w:ascii="Times New Roman" w:eastAsia="Times New Roman" w:hAnsi="Times New Roman"/>
          <w:sz w:val="24"/>
          <w:szCs w:val="24"/>
          <w:lang w:eastAsia="ru-RU"/>
        </w:rPr>
        <w:t>, круглы</w:t>
      </w:r>
      <w:r>
        <w:rPr>
          <w:rFonts w:ascii="Times New Roman" w:eastAsia="Times New Roman" w:hAnsi="Times New Roman"/>
          <w:sz w:val="24"/>
          <w:szCs w:val="24"/>
          <w:lang w:eastAsia="ru-RU"/>
        </w:rPr>
        <w:t>е</w:t>
      </w:r>
      <w:r w:rsidRPr="00D91136">
        <w:rPr>
          <w:rFonts w:ascii="Times New Roman" w:eastAsia="Times New Roman" w:hAnsi="Times New Roman"/>
          <w:sz w:val="24"/>
          <w:szCs w:val="24"/>
          <w:lang w:eastAsia="ru-RU"/>
        </w:rPr>
        <w:t xml:space="preserve"> стол</w:t>
      </w:r>
      <w:r>
        <w:rPr>
          <w:rFonts w:ascii="Times New Roman" w:eastAsia="Times New Roman" w:hAnsi="Times New Roman"/>
          <w:sz w:val="24"/>
          <w:szCs w:val="24"/>
          <w:lang w:eastAsia="ru-RU"/>
        </w:rPr>
        <w:t>ы</w:t>
      </w:r>
      <w:r w:rsidRPr="00D91136">
        <w:rPr>
          <w:rFonts w:ascii="Times New Roman" w:eastAsia="Times New Roman" w:hAnsi="Times New Roman"/>
          <w:sz w:val="24"/>
          <w:szCs w:val="24"/>
          <w:lang w:eastAsia="ru-RU"/>
        </w:rPr>
        <w:t>, на которых обсуждаются основные результаты исследований, вырабатываются решения для бизнеса и власти.</w:t>
      </w:r>
      <w:r>
        <w:rPr>
          <w:rFonts w:ascii="Times New Roman" w:eastAsia="Times New Roman" w:hAnsi="Times New Roman"/>
          <w:sz w:val="24"/>
          <w:szCs w:val="24"/>
          <w:lang w:eastAsia="ru-RU"/>
        </w:rPr>
        <w:t xml:space="preserve"> В 2012 году агентством было проведено 22 мероприятия деловой направленности, которые посетили более </w:t>
      </w:r>
      <w:r w:rsidRPr="00C23389">
        <w:rPr>
          <w:rFonts w:ascii="Times New Roman" w:eastAsia="Times New Roman" w:hAnsi="Times New Roman"/>
          <w:sz w:val="24"/>
          <w:szCs w:val="24"/>
          <w:lang w:eastAsia="ru-RU"/>
        </w:rPr>
        <w:t>6 000 </w:t>
      </w:r>
      <w:r>
        <w:rPr>
          <w:rFonts w:ascii="Times New Roman" w:eastAsia="Times New Roman" w:hAnsi="Times New Roman"/>
          <w:sz w:val="24"/>
          <w:szCs w:val="24"/>
          <w:lang w:eastAsia="ru-RU"/>
        </w:rPr>
        <w:t>человек: представители власти, бизнеса, науки и профессиональных объединений. Все мероприятия, организованные «Экспертом РА», освещаются ведущими телевизионными, печатными и электронными СМИ. В послужном списке агентства – организация крупных экономических форумов на территории России, ближнего и дальнего зарубежья, которые находят заслуженное признание у деловой общественности. В 2012 году «Эксперт РА» совместно с Фондом «</w:t>
      </w:r>
      <w:proofErr w:type="spellStart"/>
      <w:r>
        <w:rPr>
          <w:rFonts w:ascii="Times New Roman" w:eastAsia="Times New Roman" w:hAnsi="Times New Roman"/>
          <w:sz w:val="24"/>
          <w:szCs w:val="24"/>
          <w:lang w:eastAsia="ru-RU"/>
        </w:rPr>
        <w:t>Сколково</w:t>
      </w:r>
      <w:proofErr w:type="spellEnd"/>
      <w:r>
        <w:rPr>
          <w:rFonts w:ascii="Times New Roman" w:eastAsia="Times New Roman" w:hAnsi="Times New Roman"/>
          <w:sz w:val="24"/>
          <w:szCs w:val="24"/>
          <w:lang w:eastAsia="ru-RU"/>
        </w:rPr>
        <w:t xml:space="preserve">» провел Саммит творцов инновационной экономики, впервые собрав в России всемирно известных инновационных «гуру». </w:t>
      </w:r>
      <w:r w:rsidRPr="00F879D5">
        <w:rPr>
          <w:rFonts w:ascii="Times New Roman" w:eastAsia="Times New Roman" w:hAnsi="Times New Roman"/>
          <w:sz w:val="24"/>
          <w:szCs w:val="24"/>
          <w:lang w:eastAsia="ru-RU"/>
        </w:rPr>
        <w:t xml:space="preserve">В ходе подготовки </w:t>
      </w:r>
      <w:r w:rsidR="00CA00B1">
        <w:rPr>
          <w:rFonts w:ascii="Times New Roman" w:eastAsia="Times New Roman" w:hAnsi="Times New Roman"/>
          <w:sz w:val="24"/>
          <w:szCs w:val="24"/>
          <w:lang w:eastAsia="ru-RU"/>
        </w:rPr>
        <w:t xml:space="preserve">данного </w:t>
      </w:r>
      <w:r w:rsidRPr="00F879D5">
        <w:rPr>
          <w:rFonts w:ascii="Times New Roman" w:eastAsia="Times New Roman" w:hAnsi="Times New Roman"/>
          <w:sz w:val="24"/>
          <w:szCs w:val="24"/>
          <w:lang w:eastAsia="ru-RU"/>
        </w:rPr>
        <w:t xml:space="preserve">саммита была проведена масштабная работа, итогом которой стало «Руководство по созданию и развитию инновационных центров (технологии и закономерности)». В этом исследовании впервые в России, а отчасти и </w:t>
      </w:r>
      <w:r>
        <w:rPr>
          <w:rFonts w:ascii="Times New Roman" w:eastAsia="Times New Roman" w:hAnsi="Times New Roman"/>
          <w:sz w:val="24"/>
          <w:szCs w:val="24"/>
          <w:lang w:eastAsia="ru-RU"/>
        </w:rPr>
        <w:t xml:space="preserve">в </w:t>
      </w:r>
      <w:r w:rsidRPr="00F879D5">
        <w:rPr>
          <w:rFonts w:ascii="Times New Roman" w:eastAsia="Times New Roman" w:hAnsi="Times New Roman"/>
          <w:sz w:val="24"/>
          <w:szCs w:val="24"/>
          <w:lang w:eastAsia="ru-RU"/>
        </w:rPr>
        <w:t>мире</w:t>
      </w:r>
      <w:r>
        <w:rPr>
          <w:rFonts w:ascii="Times New Roman" w:eastAsia="Times New Roman" w:hAnsi="Times New Roman"/>
          <w:sz w:val="24"/>
          <w:szCs w:val="24"/>
          <w:lang w:eastAsia="ru-RU"/>
        </w:rPr>
        <w:t>,</w:t>
      </w:r>
      <w:r w:rsidRPr="00F879D5">
        <w:rPr>
          <w:rFonts w:ascii="Times New Roman" w:eastAsia="Times New Roman" w:hAnsi="Times New Roman"/>
          <w:sz w:val="24"/>
          <w:szCs w:val="24"/>
          <w:lang w:eastAsia="ru-RU"/>
        </w:rPr>
        <w:t xml:space="preserve"> обобщены управленческие практики и подходы к созданию инновационной инфраструктуры. </w:t>
      </w:r>
      <w:r w:rsidRPr="00D91136">
        <w:rPr>
          <w:rFonts w:ascii="Times New Roman" w:eastAsia="Times New Roman" w:hAnsi="Times New Roman"/>
          <w:sz w:val="24"/>
          <w:szCs w:val="24"/>
          <w:lang w:eastAsia="ru-RU"/>
        </w:rPr>
        <w:t>IV Тульский экономический форум «Развитие городов: инновации плюс потенциал традиций», организованный «Эксперт</w:t>
      </w:r>
      <w:r>
        <w:rPr>
          <w:rFonts w:ascii="Times New Roman" w:eastAsia="Times New Roman" w:hAnsi="Times New Roman"/>
          <w:sz w:val="24"/>
          <w:szCs w:val="24"/>
          <w:lang w:eastAsia="ru-RU"/>
        </w:rPr>
        <w:t>ом </w:t>
      </w:r>
      <w:r w:rsidRPr="00D91136">
        <w:rPr>
          <w:rFonts w:ascii="Times New Roman" w:eastAsia="Times New Roman" w:hAnsi="Times New Roman"/>
          <w:sz w:val="24"/>
          <w:szCs w:val="24"/>
          <w:lang w:eastAsia="ru-RU"/>
        </w:rPr>
        <w:t>РА» совместно с администрацией Тульской области</w:t>
      </w:r>
      <w:r>
        <w:rPr>
          <w:rFonts w:ascii="Times New Roman" w:eastAsia="Times New Roman" w:hAnsi="Times New Roman"/>
          <w:sz w:val="24"/>
          <w:szCs w:val="24"/>
          <w:lang w:eastAsia="ru-RU"/>
        </w:rPr>
        <w:t xml:space="preserve"> в сентябре 2011 года</w:t>
      </w:r>
      <w:r w:rsidRPr="00D91136">
        <w:rPr>
          <w:rFonts w:ascii="Times New Roman" w:eastAsia="Times New Roman" w:hAnsi="Times New Roman"/>
          <w:sz w:val="24"/>
          <w:szCs w:val="24"/>
          <w:lang w:eastAsia="ru-RU"/>
        </w:rPr>
        <w:t>, занял 5</w:t>
      </w:r>
      <w:r>
        <w:rPr>
          <w:rFonts w:ascii="Times New Roman" w:eastAsia="Times New Roman" w:hAnsi="Times New Roman"/>
          <w:sz w:val="24"/>
          <w:szCs w:val="24"/>
          <w:lang w:eastAsia="ru-RU"/>
        </w:rPr>
        <w:t>-е</w:t>
      </w:r>
      <w:r w:rsidRPr="00D91136">
        <w:rPr>
          <w:rFonts w:ascii="Times New Roman" w:eastAsia="Times New Roman" w:hAnsi="Times New Roman"/>
          <w:sz w:val="24"/>
          <w:szCs w:val="24"/>
          <w:lang w:eastAsia="ru-RU"/>
        </w:rPr>
        <w:t xml:space="preserve"> место в сравнительном исследовании крупнейших деловых и политических форумов, проведенном Национальным институтом изучения репутаций. </w:t>
      </w:r>
    </w:p>
    <w:p w:rsidR="00F2710E" w:rsidRPr="00D91136" w:rsidRDefault="00F2710E" w:rsidP="00F2710E">
      <w:pPr>
        <w:spacing w:after="0" w:line="240" w:lineRule="auto"/>
        <w:ind w:firstLine="720"/>
        <w:jc w:val="both"/>
        <w:rPr>
          <w:rFonts w:ascii="Times New Roman" w:eastAsia="Times New Roman" w:hAnsi="Times New Roman"/>
          <w:sz w:val="24"/>
          <w:szCs w:val="24"/>
          <w:lang w:eastAsia="ru-RU"/>
        </w:rPr>
      </w:pPr>
    </w:p>
    <w:p w:rsidR="00F2710E" w:rsidRDefault="00F2710E" w:rsidP="00F2710E">
      <w:pPr>
        <w:spacing w:after="0" w:line="240" w:lineRule="auto"/>
        <w:ind w:firstLine="720"/>
        <w:jc w:val="both"/>
        <w:rPr>
          <w:rFonts w:ascii="Times New Roman" w:eastAsia="Times New Roman" w:hAnsi="Times New Roman"/>
          <w:sz w:val="24"/>
          <w:szCs w:val="24"/>
          <w:lang w:eastAsia="ru-RU"/>
        </w:rPr>
      </w:pPr>
      <w:r w:rsidRPr="00D91136">
        <w:rPr>
          <w:rFonts w:ascii="Times New Roman" w:eastAsia="Times New Roman" w:hAnsi="Times New Roman"/>
          <w:sz w:val="24"/>
          <w:szCs w:val="24"/>
          <w:lang w:eastAsia="ru-RU"/>
        </w:rPr>
        <w:lastRenderedPageBreak/>
        <w:t>С 2008 года также ведет свою работу рейтинговое агентство «Эксперт</w:t>
      </w:r>
      <w:r>
        <w:rPr>
          <w:rFonts w:ascii="Times New Roman" w:eastAsia="Times New Roman" w:hAnsi="Times New Roman"/>
          <w:sz w:val="24"/>
          <w:szCs w:val="24"/>
          <w:lang w:eastAsia="ru-RU"/>
        </w:rPr>
        <w:t> </w:t>
      </w:r>
      <w:r w:rsidRPr="00D91136">
        <w:rPr>
          <w:rFonts w:ascii="Times New Roman" w:eastAsia="Times New Roman" w:hAnsi="Times New Roman"/>
          <w:sz w:val="24"/>
          <w:szCs w:val="24"/>
          <w:lang w:eastAsia="ru-RU"/>
        </w:rPr>
        <w:t>РА</w:t>
      </w:r>
      <w:r>
        <w:rPr>
          <w:rFonts w:ascii="Times New Roman" w:eastAsia="Times New Roman" w:hAnsi="Times New Roman"/>
          <w:sz w:val="24"/>
          <w:szCs w:val="24"/>
          <w:lang w:eastAsia="ru-RU"/>
        </w:rPr>
        <w:t> </w:t>
      </w:r>
      <w:r w:rsidRPr="00D91136">
        <w:rPr>
          <w:rFonts w:ascii="Times New Roman" w:eastAsia="Times New Roman" w:hAnsi="Times New Roman"/>
          <w:sz w:val="24"/>
          <w:szCs w:val="24"/>
          <w:lang w:eastAsia="ru-RU"/>
        </w:rPr>
        <w:t>Казахстан» (</w:t>
      </w:r>
      <w:hyperlink r:id="rId28" w:history="1">
        <w:r w:rsidRPr="002978E7">
          <w:rPr>
            <w:rStyle w:val="aa"/>
            <w:rFonts w:ascii="Times New Roman" w:eastAsia="Times New Roman" w:hAnsi="Times New Roman"/>
            <w:sz w:val="24"/>
            <w:szCs w:val="24"/>
            <w:lang w:eastAsia="ru-RU"/>
          </w:rPr>
          <w:t>http://raexpert.kz</w:t>
        </w:r>
      </w:hyperlink>
      <w:r w:rsidRPr="00D9113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 2012 года агентство имеет свои представительства в Республике Беларусь и в Германии. </w:t>
      </w:r>
    </w:p>
    <w:p w:rsidR="00F2710E" w:rsidRPr="00D91136" w:rsidRDefault="00F2710E" w:rsidP="00F2710E">
      <w:pPr>
        <w:spacing w:after="0" w:line="240" w:lineRule="auto"/>
        <w:ind w:firstLine="720"/>
        <w:jc w:val="both"/>
        <w:rPr>
          <w:rFonts w:ascii="Times New Roman" w:eastAsia="Times New Roman" w:hAnsi="Times New Roman"/>
          <w:sz w:val="24"/>
          <w:szCs w:val="24"/>
          <w:lang w:eastAsia="ru-RU"/>
        </w:rPr>
      </w:pPr>
    </w:p>
    <w:p w:rsidR="00514CAF" w:rsidRDefault="00F2710E" w:rsidP="00F2710E">
      <w:pPr>
        <w:ind w:firstLine="709"/>
        <w:jc w:val="both"/>
      </w:pPr>
      <w:r w:rsidRPr="00F879D5">
        <w:rPr>
          <w:rFonts w:ascii="Times New Roman" w:eastAsia="Times New Roman" w:hAnsi="Times New Roman"/>
          <w:i/>
          <w:sz w:val="24"/>
          <w:szCs w:val="24"/>
          <w:lang w:eastAsia="ru-RU"/>
        </w:rPr>
        <w:t>Подробная информация о деятельности рейтингового агентства «Эксперт РА»</w:t>
      </w:r>
      <w:r>
        <w:rPr>
          <w:rFonts w:ascii="Times New Roman" w:eastAsia="Times New Roman" w:hAnsi="Times New Roman"/>
          <w:i/>
          <w:sz w:val="24"/>
          <w:szCs w:val="24"/>
          <w:lang w:eastAsia="ru-RU"/>
        </w:rPr>
        <w:t xml:space="preserve"> –</w:t>
      </w:r>
      <w:r w:rsidRPr="00F879D5">
        <w:rPr>
          <w:rFonts w:ascii="Times New Roman" w:eastAsia="Times New Roman" w:hAnsi="Times New Roman"/>
          <w:i/>
          <w:sz w:val="24"/>
          <w:szCs w:val="24"/>
          <w:lang w:eastAsia="ru-RU"/>
        </w:rPr>
        <w:t xml:space="preserve"> на </w:t>
      </w:r>
      <w:r>
        <w:rPr>
          <w:rFonts w:ascii="Times New Roman" w:eastAsia="Times New Roman" w:hAnsi="Times New Roman"/>
          <w:i/>
          <w:sz w:val="24"/>
          <w:szCs w:val="24"/>
          <w:lang w:eastAsia="ru-RU"/>
        </w:rPr>
        <w:t>сайте www.raexpert.ru и по тел.</w:t>
      </w:r>
      <w:r w:rsidRPr="00F879D5">
        <w:rPr>
          <w:rFonts w:ascii="Times New Roman" w:eastAsia="Times New Roman" w:hAnsi="Times New Roman"/>
          <w:i/>
          <w:sz w:val="24"/>
          <w:szCs w:val="24"/>
          <w:lang w:eastAsia="ru-RU"/>
        </w:rPr>
        <w:t xml:space="preserve"> +7 (495) 225-34-44.</w:t>
      </w:r>
    </w:p>
    <w:sectPr w:rsidR="00514C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44" w:rsidRDefault="00A95944" w:rsidP="00B764A6">
      <w:pPr>
        <w:spacing w:after="0" w:line="240" w:lineRule="auto"/>
      </w:pPr>
      <w:r>
        <w:separator/>
      </w:r>
    </w:p>
  </w:endnote>
  <w:endnote w:type="continuationSeparator" w:id="0">
    <w:p w:rsidR="00A95944" w:rsidRDefault="00A95944" w:rsidP="00B7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44" w:rsidRDefault="00A95944" w:rsidP="00B764A6">
      <w:pPr>
        <w:spacing w:after="0" w:line="240" w:lineRule="auto"/>
      </w:pPr>
      <w:r>
        <w:separator/>
      </w:r>
    </w:p>
  </w:footnote>
  <w:footnote w:type="continuationSeparator" w:id="0">
    <w:p w:rsidR="00A95944" w:rsidRDefault="00A95944" w:rsidP="00B764A6">
      <w:pPr>
        <w:spacing w:after="0" w:line="240" w:lineRule="auto"/>
      </w:pPr>
      <w:r>
        <w:continuationSeparator/>
      </w:r>
    </w:p>
  </w:footnote>
  <w:footnote w:id="1">
    <w:p w:rsidR="00925B46" w:rsidRDefault="00925B46" w:rsidP="00B764A6">
      <w:pPr>
        <w:pStyle w:val="ab"/>
      </w:pPr>
      <w:r>
        <w:rPr>
          <w:rStyle w:val="ad"/>
        </w:rPr>
        <w:footnoteRef/>
      </w:r>
      <w:r>
        <w:t xml:space="preserve"> Без учета НДС.</w:t>
      </w:r>
    </w:p>
  </w:footnote>
  <w:footnote w:id="2">
    <w:p w:rsidR="00925B46" w:rsidRPr="00946168" w:rsidRDefault="00925B46" w:rsidP="00B764A6">
      <w:pPr>
        <w:pStyle w:val="ab"/>
      </w:pPr>
      <w:r w:rsidRPr="00332239">
        <w:rPr>
          <w:rStyle w:val="ad"/>
        </w:rPr>
        <w:footnoteRef/>
      </w:r>
      <w:r w:rsidRPr="00332239">
        <w:t xml:space="preserve"> Годовой оборот по курсу 40 руб</w:t>
      </w:r>
      <w:r>
        <w:t>лей</w:t>
      </w:r>
      <w:r w:rsidRPr="00332239">
        <w:t>/евро</w:t>
      </w:r>
      <w:r>
        <w:t>.</w:t>
      </w:r>
    </w:p>
  </w:footnote>
  <w:footnote w:id="3">
    <w:p w:rsidR="00925B46" w:rsidRDefault="00925B46">
      <w:pPr>
        <w:pStyle w:val="ab"/>
      </w:pPr>
      <w:r>
        <w:rPr>
          <w:rStyle w:val="ad"/>
        </w:rPr>
        <w:footnoteRef/>
      </w:r>
      <w:r>
        <w:t xml:space="preserve"> Здесь: риск недобросовестного поведения, риск снижения ответственности.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A9F"/>
    <w:multiLevelType w:val="hybridMultilevel"/>
    <w:tmpl w:val="2C366BB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C40AD1"/>
    <w:multiLevelType w:val="hybridMultilevel"/>
    <w:tmpl w:val="47AE2D8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D04DA"/>
    <w:multiLevelType w:val="hybridMultilevel"/>
    <w:tmpl w:val="B8BE097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6D6AAF"/>
    <w:multiLevelType w:val="hybridMultilevel"/>
    <w:tmpl w:val="D512B0B8"/>
    <w:lvl w:ilvl="0" w:tplc="596C040E">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2343B"/>
    <w:multiLevelType w:val="hybridMultilevel"/>
    <w:tmpl w:val="F6D8687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215712"/>
    <w:multiLevelType w:val="hybridMultilevel"/>
    <w:tmpl w:val="49EA0D8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ABF73AC"/>
    <w:multiLevelType w:val="hybridMultilevel"/>
    <w:tmpl w:val="AD0413C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62377A"/>
    <w:multiLevelType w:val="hybridMultilevel"/>
    <w:tmpl w:val="F74CD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C811CE"/>
    <w:multiLevelType w:val="hybridMultilevel"/>
    <w:tmpl w:val="79B0E44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590B14"/>
    <w:multiLevelType w:val="hybridMultilevel"/>
    <w:tmpl w:val="6BA4CD8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8"/>
  </w:num>
  <w:num w:numId="4">
    <w:abstractNumId w:val="6"/>
  </w:num>
  <w:num w:numId="5">
    <w:abstractNumId w:val="4"/>
  </w:num>
  <w:num w:numId="6">
    <w:abstractNumId w:val="5"/>
  </w:num>
  <w:num w:numId="7">
    <w:abstractNumId w:val="0"/>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52"/>
    <w:rsid w:val="00007A26"/>
    <w:rsid w:val="000137B6"/>
    <w:rsid w:val="000255FE"/>
    <w:rsid w:val="00027358"/>
    <w:rsid w:val="00044862"/>
    <w:rsid w:val="00051D33"/>
    <w:rsid w:val="000602A0"/>
    <w:rsid w:val="00075408"/>
    <w:rsid w:val="00081DBF"/>
    <w:rsid w:val="00095620"/>
    <w:rsid w:val="000A3122"/>
    <w:rsid w:val="000C5E85"/>
    <w:rsid w:val="000D7558"/>
    <w:rsid w:val="000E26C6"/>
    <w:rsid w:val="000E4BAC"/>
    <w:rsid w:val="000F5735"/>
    <w:rsid w:val="000F7E71"/>
    <w:rsid w:val="00112D79"/>
    <w:rsid w:val="001155D0"/>
    <w:rsid w:val="0011743B"/>
    <w:rsid w:val="00117ADF"/>
    <w:rsid w:val="00122654"/>
    <w:rsid w:val="001438C9"/>
    <w:rsid w:val="00143F8B"/>
    <w:rsid w:val="001646F6"/>
    <w:rsid w:val="00171DFF"/>
    <w:rsid w:val="001B60B4"/>
    <w:rsid w:val="001B79F8"/>
    <w:rsid w:val="001C3497"/>
    <w:rsid w:val="001C3DBD"/>
    <w:rsid w:val="001D1D2A"/>
    <w:rsid w:val="001D52CC"/>
    <w:rsid w:val="001E024C"/>
    <w:rsid w:val="001E35DF"/>
    <w:rsid w:val="001E79E6"/>
    <w:rsid w:val="001F5268"/>
    <w:rsid w:val="001F7D4F"/>
    <w:rsid w:val="0020373C"/>
    <w:rsid w:val="00205ED9"/>
    <w:rsid w:val="00217F42"/>
    <w:rsid w:val="00224595"/>
    <w:rsid w:val="00242A54"/>
    <w:rsid w:val="00242BC6"/>
    <w:rsid w:val="00261A12"/>
    <w:rsid w:val="002711B0"/>
    <w:rsid w:val="00276473"/>
    <w:rsid w:val="0029772E"/>
    <w:rsid w:val="002A3CE0"/>
    <w:rsid w:val="002B0212"/>
    <w:rsid w:val="002B1131"/>
    <w:rsid w:val="002B1BB7"/>
    <w:rsid w:val="002B4073"/>
    <w:rsid w:val="002D2CF6"/>
    <w:rsid w:val="002D4B79"/>
    <w:rsid w:val="002E4712"/>
    <w:rsid w:val="00313AFC"/>
    <w:rsid w:val="00320F5B"/>
    <w:rsid w:val="00323DA0"/>
    <w:rsid w:val="00330D46"/>
    <w:rsid w:val="00336113"/>
    <w:rsid w:val="00356A88"/>
    <w:rsid w:val="00356D1B"/>
    <w:rsid w:val="00360955"/>
    <w:rsid w:val="00361C2C"/>
    <w:rsid w:val="003631A5"/>
    <w:rsid w:val="00367A42"/>
    <w:rsid w:val="00367D9E"/>
    <w:rsid w:val="00377241"/>
    <w:rsid w:val="003816C5"/>
    <w:rsid w:val="00382131"/>
    <w:rsid w:val="003B10CC"/>
    <w:rsid w:val="003B292E"/>
    <w:rsid w:val="003D3674"/>
    <w:rsid w:val="003D76B7"/>
    <w:rsid w:val="003E406F"/>
    <w:rsid w:val="003E4727"/>
    <w:rsid w:val="003F263E"/>
    <w:rsid w:val="003F563B"/>
    <w:rsid w:val="003F7862"/>
    <w:rsid w:val="004116B8"/>
    <w:rsid w:val="004175D7"/>
    <w:rsid w:val="00421631"/>
    <w:rsid w:val="00422E3E"/>
    <w:rsid w:val="004574CE"/>
    <w:rsid w:val="00475E90"/>
    <w:rsid w:val="0047724E"/>
    <w:rsid w:val="00477408"/>
    <w:rsid w:val="00486CA5"/>
    <w:rsid w:val="00495153"/>
    <w:rsid w:val="004A7A53"/>
    <w:rsid w:val="004B4DA4"/>
    <w:rsid w:val="004E0A18"/>
    <w:rsid w:val="004F5BF6"/>
    <w:rsid w:val="004F663B"/>
    <w:rsid w:val="00512E40"/>
    <w:rsid w:val="00514CAF"/>
    <w:rsid w:val="00525778"/>
    <w:rsid w:val="0052697D"/>
    <w:rsid w:val="005420E6"/>
    <w:rsid w:val="0054562B"/>
    <w:rsid w:val="005511A9"/>
    <w:rsid w:val="005623CA"/>
    <w:rsid w:val="0058619E"/>
    <w:rsid w:val="00597610"/>
    <w:rsid w:val="005A1353"/>
    <w:rsid w:val="005B3D25"/>
    <w:rsid w:val="005D0827"/>
    <w:rsid w:val="005E3E47"/>
    <w:rsid w:val="005F1178"/>
    <w:rsid w:val="00605969"/>
    <w:rsid w:val="00617CD0"/>
    <w:rsid w:val="006204A6"/>
    <w:rsid w:val="00624750"/>
    <w:rsid w:val="00626541"/>
    <w:rsid w:val="006609CF"/>
    <w:rsid w:val="00664976"/>
    <w:rsid w:val="0068041E"/>
    <w:rsid w:val="00682459"/>
    <w:rsid w:val="006855DE"/>
    <w:rsid w:val="00691BEC"/>
    <w:rsid w:val="00692926"/>
    <w:rsid w:val="006A2465"/>
    <w:rsid w:val="006A6572"/>
    <w:rsid w:val="006C6338"/>
    <w:rsid w:val="006C7E33"/>
    <w:rsid w:val="006D0C30"/>
    <w:rsid w:val="006F7618"/>
    <w:rsid w:val="0070637A"/>
    <w:rsid w:val="007065A8"/>
    <w:rsid w:val="007126A8"/>
    <w:rsid w:val="00714D79"/>
    <w:rsid w:val="00717194"/>
    <w:rsid w:val="00720EA4"/>
    <w:rsid w:val="00725B3F"/>
    <w:rsid w:val="007409D9"/>
    <w:rsid w:val="0074207B"/>
    <w:rsid w:val="0074297E"/>
    <w:rsid w:val="00747314"/>
    <w:rsid w:val="00753E80"/>
    <w:rsid w:val="00756E2D"/>
    <w:rsid w:val="00772407"/>
    <w:rsid w:val="00774014"/>
    <w:rsid w:val="00774848"/>
    <w:rsid w:val="00774FC0"/>
    <w:rsid w:val="007750A5"/>
    <w:rsid w:val="0077731B"/>
    <w:rsid w:val="00784AB5"/>
    <w:rsid w:val="007863B2"/>
    <w:rsid w:val="0079140E"/>
    <w:rsid w:val="007A144A"/>
    <w:rsid w:val="007A19BD"/>
    <w:rsid w:val="007A36F2"/>
    <w:rsid w:val="007D4D85"/>
    <w:rsid w:val="007D62BC"/>
    <w:rsid w:val="007F6A22"/>
    <w:rsid w:val="0080651F"/>
    <w:rsid w:val="00826233"/>
    <w:rsid w:val="0084520D"/>
    <w:rsid w:val="00846612"/>
    <w:rsid w:val="008562A1"/>
    <w:rsid w:val="008617DB"/>
    <w:rsid w:val="00861D0A"/>
    <w:rsid w:val="00867037"/>
    <w:rsid w:val="00883902"/>
    <w:rsid w:val="00896321"/>
    <w:rsid w:val="008A4B70"/>
    <w:rsid w:val="008B70FA"/>
    <w:rsid w:val="008B7C15"/>
    <w:rsid w:val="008C6E52"/>
    <w:rsid w:val="008D177B"/>
    <w:rsid w:val="008E482B"/>
    <w:rsid w:val="0090444C"/>
    <w:rsid w:val="009108F1"/>
    <w:rsid w:val="009125B1"/>
    <w:rsid w:val="00923911"/>
    <w:rsid w:val="00925B46"/>
    <w:rsid w:val="00952566"/>
    <w:rsid w:val="009529FC"/>
    <w:rsid w:val="009568F3"/>
    <w:rsid w:val="009A1431"/>
    <w:rsid w:val="009A3AB4"/>
    <w:rsid w:val="009B33FE"/>
    <w:rsid w:val="009C66A3"/>
    <w:rsid w:val="009E0FFC"/>
    <w:rsid w:val="009E10A2"/>
    <w:rsid w:val="009F054A"/>
    <w:rsid w:val="00A0279E"/>
    <w:rsid w:val="00A038CE"/>
    <w:rsid w:val="00A16048"/>
    <w:rsid w:val="00A329D9"/>
    <w:rsid w:val="00A41262"/>
    <w:rsid w:val="00A4479D"/>
    <w:rsid w:val="00A47F70"/>
    <w:rsid w:val="00A5378C"/>
    <w:rsid w:val="00A53BA2"/>
    <w:rsid w:val="00A558C0"/>
    <w:rsid w:val="00A6799A"/>
    <w:rsid w:val="00A700E3"/>
    <w:rsid w:val="00A8373C"/>
    <w:rsid w:val="00A84B0E"/>
    <w:rsid w:val="00A95944"/>
    <w:rsid w:val="00A97DD8"/>
    <w:rsid w:val="00AB2A5E"/>
    <w:rsid w:val="00AB3501"/>
    <w:rsid w:val="00AB3DC0"/>
    <w:rsid w:val="00AB75D5"/>
    <w:rsid w:val="00AD6A56"/>
    <w:rsid w:val="00AD7A60"/>
    <w:rsid w:val="00AE2B1A"/>
    <w:rsid w:val="00B07E61"/>
    <w:rsid w:val="00B10AB9"/>
    <w:rsid w:val="00B11CFA"/>
    <w:rsid w:val="00B210CD"/>
    <w:rsid w:val="00B329BC"/>
    <w:rsid w:val="00B74140"/>
    <w:rsid w:val="00B74B8D"/>
    <w:rsid w:val="00B764A6"/>
    <w:rsid w:val="00B848CF"/>
    <w:rsid w:val="00B851B7"/>
    <w:rsid w:val="00B951C9"/>
    <w:rsid w:val="00B955C9"/>
    <w:rsid w:val="00BA6BAD"/>
    <w:rsid w:val="00BB2E0C"/>
    <w:rsid w:val="00BB3B93"/>
    <w:rsid w:val="00BC3EAC"/>
    <w:rsid w:val="00BC756C"/>
    <w:rsid w:val="00BD1AAE"/>
    <w:rsid w:val="00BF4FE5"/>
    <w:rsid w:val="00BF7CD6"/>
    <w:rsid w:val="00BF7D44"/>
    <w:rsid w:val="00C058F7"/>
    <w:rsid w:val="00C14B4D"/>
    <w:rsid w:val="00C34D05"/>
    <w:rsid w:val="00C5059E"/>
    <w:rsid w:val="00C52690"/>
    <w:rsid w:val="00C663E6"/>
    <w:rsid w:val="00C879AA"/>
    <w:rsid w:val="00CA00B1"/>
    <w:rsid w:val="00CA22A7"/>
    <w:rsid w:val="00CB4C21"/>
    <w:rsid w:val="00CC1FE0"/>
    <w:rsid w:val="00CC7E85"/>
    <w:rsid w:val="00CF09CE"/>
    <w:rsid w:val="00CF7476"/>
    <w:rsid w:val="00D01479"/>
    <w:rsid w:val="00D17ADC"/>
    <w:rsid w:val="00D43C44"/>
    <w:rsid w:val="00D4622A"/>
    <w:rsid w:val="00D53A6D"/>
    <w:rsid w:val="00D612E7"/>
    <w:rsid w:val="00D9214A"/>
    <w:rsid w:val="00D93FC9"/>
    <w:rsid w:val="00DB6059"/>
    <w:rsid w:val="00DD388B"/>
    <w:rsid w:val="00DE0508"/>
    <w:rsid w:val="00E155A3"/>
    <w:rsid w:val="00E16246"/>
    <w:rsid w:val="00E17D8E"/>
    <w:rsid w:val="00E217D3"/>
    <w:rsid w:val="00E22448"/>
    <w:rsid w:val="00E22968"/>
    <w:rsid w:val="00E22CB3"/>
    <w:rsid w:val="00E32B15"/>
    <w:rsid w:val="00E414DA"/>
    <w:rsid w:val="00E44A7D"/>
    <w:rsid w:val="00E44F96"/>
    <w:rsid w:val="00E5155B"/>
    <w:rsid w:val="00E6335B"/>
    <w:rsid w:val="00E734F3"/>
    <w:rsid w:val="00E74442"/>
    <w:rsid w:val="00E84812"/>
    <w:rsid w:val="00E85BD5"/>
    <w:rsid w:val="00E94C65"/>
    <w:rsid w:val="00EA52C1"/>
    <w:rsid w:val="00EB2425"/>
    <w:rsid w:val="00EB270A"/>
    <w:rsid w:val="00EC0806"/>
    <w:rsid w:val="00EC0EEC"/>
    <w:rsid w:val="00EC3F51"/>
    <w:rsid w:val="00ED37B0"/>
    <w:rsid w:val="00ED4DFA"/>
    <w:rsid w:val="00EF299A"/>
    <w:rsid w:val="00EF56EC"/>
    <w:rsid w:val="00F01FA8"/>
    <w:rsid w:val="00F04992"/>
    <w:rsid w:val="00F143A7"/>
    <w:rsid w:val="00F1448B"/>
    <w:rsid w:val="00F15B04"/>
    <w:rsid w:val="00F2710E"/>
    <w:rsid w:val="00F4012B"/>
    <w:rsid w:val="00F7036A"/>
    <w:rsid w:val="00F7121E"/>
    <w:rsid w:val="00F725C5"/>
    <w:rsid w:val="00FE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64A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56A88"/>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4A6"/>
    <w:rPr>
      <w:rFonts w:ascii="Arial" w:eastAsia="Times New Roman" w:hAnsi="Arial" w:cs="Arial"/>
      <w:b/>
      <w:bCs/>
      <w:kern w:val="32"/>
      <w:sz w:val="32"/>
      <w:szCs w:val="32"/>
      <w:lang w:eastAsia="ru-RU"/>
    </w:rPr>
  </w:style>
  <w:style w:type="character" w:customStyle="1" w:styleId="20">
    <w:name w:val="Заголовок 2 Знак"/>
    <w:basedOn w:val="a0"/>
    <w:link w:val="2"/>
    <w:rsid w:val="00356A88"/>
    <w:rPr>
      <w:rFonts w:ascii="Arial" w:eastAsia="Times New Roman" w:hAnsi="Arial" w:cs="Arial"/>
      <w:b/>
      <w:bCs/>
      <w:i/>
      <w:iCs/>
      <w:sz w:val="28"/>
      <w:szCs w:val="28"/>
      <w:lang w:eastAsia="ru-RU"/>
    </w:rPr>
  </w:style>
  <w:style w:type="character" w:styleId="a3">
    <w:name w:val="annotation reference"/>
    <w:basedOn w:val="a0"/>
    <w:unhideWhenUsed/>
    <w:rsid w:val="00A6799A"/>
    <w:rPr>
      <w:sz w:val="16"/>
      <w:szCs w:val="16"/>
    </w:rPr>
  </w:style>
  <w:style w:type="paragraph" w:styleId="a4">
    <w:name w:val="annotation text"/>
    <w:basedOn w:val="a"/>
    <w:link w:val="a5"/>
    <w:unhideWhenUsed/>
    <w:rsid w:val="00A6799A"/>
    <w:pPr>
      <w:spacing w:line="240" w:lineRule="auto"/>
    </w:pPr>
    <w:rPr>
      <w:sz w:val="20"/>
      <w:szCs w:val="20"/>
    </w:rPr>
  </w:style>
  <w:style w:type="character" w:customStyle="1" w:styleId="a5">
    <w:name w:val="Текст примечания Знак"/>
    <w:basedOn w:val="a0"/>
    <w:link w:val="a4"/>
    <w:rsid w:val="00A6799A"/>
    <w:rPr>
      <w:sz w:val="20"/>
      <w:szCs w:val="20"/>
    </w:rPr>
  </w:style>
  <w:style w:type="paragraph" w:styleId="a6">
    <w:name w:val="annotation subject"/>
    <w:basedOn w:val="a4"/>
    <w:next w:val="a4"/>
    <w:link w:val="a7"/>
    <w:uiPriority w:val="99"/>
    <w:semiHidden/>
    <w:unhideWhenUsed/>
    <w:rsid w:val="00A6799A"/>
    <w:rPr>
      <w:b/>
      <w:bCs/>
    </w:rPr>
  </w:style>
  <w:style w:type="character" w:customStyle="1" w:styleId="a7">
    <w:name w:val="Тема примечания Знак"/>
    <w:basedOn w:val="a5"/>
    <w:link w:val="a6"/>
    <w:uiPriority w:val="99"/>
    <w:semiHidden/>
    <w:rsid w:val="00A6799A"/>
    <w:rPr>
      <w:b/>
      <w:bCs/>
      <w:sz w:val="20"/>
      <w:szCs w:val="20"/>
    </w:rPr>
  </w:style>
  <w:style w:type="paragraph" w:styleId="a8">
    <w:name w:val="Balloon Text"/>
    <w:basedOn w:val="a"/>
    <w:link w:val="a9"/>
    <w:uiPriority w:val="99"/>
    <w:semiHidden/>
    <w:unhideWhenUsed/>
    <w:rsid w:val="00A679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799A"/>
    <w:rPr>
      <w:rFonts w:ascii="Tahoma" w:hAnsi="Tahoma" w:cs="Tahoma"/>
      <w:sz w:val="16"/>
      <w:szCs w:val="16"/>
    </w:rPr>
  </w:style>
  <w:style w:type="character" w:styleId="aa">
    <w:name w:val="Hyperlink"/>
    <w:uiPriority w:val="99"/>
    <w:rsid w:val="00B764A6"/>
    <w:rPr>
      <w:color w:val="0000FF"/>
      <w:u w:val="single"/>
    </w:rPr>
  </w:style>
  <w:style w:type="paragraph" w:styleId="11">
    <w:name w:val="toc 1"/>
    <w:basedOn w:val="a"/>
    <w:next w:val="a"/>
    <w:autoRedefine/>
    <w:uiPriority w:val="39"/>
    <w:rsid w:val="00B764A6"/>
    <w:pPr>
      <w:tabs>
        <w:tab w:val="right" w:leader="dot" w:pos="9345"/>
      </w:tabs>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rsid w:val="00B764A6"/>
    <w:pPr>
      <w:spacing w:after="0" w:line="240" w:lineRule="auto"/>
      <w:ind w:left="240"/>
    </w:pPr>
    <w:rPr>
      <w:rFonts w:ascii="Times New Roman" w:eastAsia="Times New Roman" w:hAnsi="Times New Roman" w:cs="Times New Roman"/>
      <w:sz w:val="24"/>
      <w:szCs w:val="24"/>
      <w:lang w:eastAsia="ru-RU"/>
    </w:rPr>
  </w:style>
  <w:style w:type="paragraph" w:styleId="ab">
    <w:name w:val="footnote text"/>
    <w:basedOn w:val="a"/>
    <w:link w:val="ac"/>
    <w:semiHidden/>
    <w:rsid w:val="00B764A6"/>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B764A6"/>
    <w:rPr>
      <w:rFonts w:ascii="Times New Roman" w:eastAsia="Times New Roman" w:hAnsi="Times New Roman" w:cs="Times New Roman"/>
      <w:sz w:val="20"/>
      <w:szCs w:val="20"/>
      <w:lang w:eastAsia="ru-RU"/>
    </w:rPr>
  </w:style>
  <w:style w:type="character" w:styleId="ad">
    <w:name w:val="footnote reference"/>
    <w:semiHidden/>
    <w:rsid w:val="00B764A6"/>
    <w:rPr>
      <w:vertAlign w:val="superscript"/>
    </w:rPr>
  </w:style>
  <w:style w:type="paragraph" w:styleId="ae">
    <w:name w:val="List Paragraph"/>
    <w:basedOn w:val="a"/>
    <w:uiPriority w:val="34"/>
    <w:qFormat/>
    <w:rsid w:val="004F5BF6"/>
    <w:pPr>
      <w:ind w:left="720"/>
      <w:contextualSpacing/>
    </w:pPr>
    <w:rPr>
      <w:rFonts w:ascii="Calibri" w:eastAsia="Times New Roman" w:hAnsi="Calibri" w:cs="Times New Roman"/>
      <w:lang w:eastAsia="ru-RU"/>
    </w:rPr>
  </w:style>
  <w:style w:type="paragraph" w:styleId="af">
    <w:name w:val="Normal (Web)"/>
    <w:basedOn w:val="a"/>
    <w:uiPriority w:val="99"/>
    <w:unhideWhenUsed/>
    <w:rsid w:val="004F5BF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style-span">
    <w:name w:val="apple-style-span"/>
    <w:basedOn w:val="a0"/>
    <w:rsid w:val="004F5BF6"/>
  </w:style>
  <w:style w:type="character" w:customStyle="1" w:styleId="apple-converted-space">
    <w:name w:val="apple-converted-space"/>
    <w:basedOn w:val="a0"/>
    <w:rsid w:val="004F5BF6"/>
  </w:style>
  <w:style w:type="paragraph" w:styleId="af0">
    <w:name w:val="caption"/>
    <w:basedOn w:val="a"/>
    <w:next w:val="a"/>
    <w:qFormat/>
    <w:rsid w:val="009C66A3"/>
    <w:pPr>
      <w:spacing w:after="0" w:line="360" w:lineRule="auto"/>
      <w:ind w:firstLine="709"/>
      <w:jc w:val="both"/>
    </w:pPr>
    <w:rPr>
      <w:rFonts w:ascii="Times New Roman" w:eastAsia="Times New Roman" w:hAnsi="Times New Roman" w:cs="Times New Roman"/>
      <w:b/>
      <w:bCs/>
      <w:sz w:val="20"/>
      <w:szCs w:val="20"/>
      <w:lang w:eastAsia="ru-RU"/>
    </w:rPr>
  </w:style>
  <w:style w:type="character" w:styleId="af1">
    <w:name w:val="FollowedHyperlink"/>
    <w:basedOn w:val="a0"/>
    <w:uiPriority w:val="99"/>
    <w:semiHidden/>
    <w:unhideWhenUsed/>
    <w:rsid w:val="003D76B7"/>
    <w:rPr>
      <w:color w:val="800080" w:themeColor="followedHyperlink"/>
      <w:u w:val="single"/>
    </w:rPr>
  </w:style>
  <w:style w:type="paragraph" w:customStyle="1" w:styleId="xl58">
    <w:name w:val="xl58"/>
    <w:basedOn w:val="a"/>
    <w:rsid w:val="00143F8B"/>
    <w:pPr>
      <w:spacing w:before="100" w:beforeAutospacing="1" w:after="100" w:afterAutospacing="1" w:line="240" w:lineRule="auto"/>
    </w:pPr>
    <w:rPr>
      <w:rFonts w:ascii="Helvetica" w:eastAsia="Times New Roman" w:hAnsi="Helvetica" w:cs="Helvetica"/>
      <w:b/>
      <w:bCs/>
      <w:sz w:val="24"/>
      <w:szCs w:val="24"/>
      <w:lang w:eastAsia="ru-RU"/>
    </w:rPr>
  </w:style>
  <w:style w:type="paragraph" w:customStyle="1" w:styleId="xl59">
    <w:name w:val="xl59"/>
    <w:basedOn w:val="a"/>
    <w:rsid w:val="00143F8B"/>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64A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56A88"/>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4A6"/>
    <w:rPr>
      <w:rFonts w:ascii="Arial" w:eastAsia="Times New Roman" w:hAnsi="Arial" w:cs="Arial"/>
      <w:b/>
      <w:bCs/>
      <w:kern w:val="32"/>
      <w:sz w:val="32"/>
      <w:szCs w:val="32"/>
      <w:lang w:eastAsia="ru-RU"/>
    </w:rPr>
  </w:style>
  <w:style w:type="character" w:customStyle="1" w:styleId="20">
    <w:name w:val="Заголовок 2 Знак"/>
    <w:basedOn w:val="a0"/>
    <w:link w:val="2"/>
    <w:rsid w:val="00356A88"/>
    <w:rPr>
      <w:rFonts w:ascii="Arial" w:eastAsia="Times New Roman" w:hAnsi="Arial" w:cs="Arial"/>
      <w:b/>
      <w:bCs/>
      <w:i/>
      <w:iCs/>
      <w:sz w:val="28"/>
      <w:szCs w:val="28"/>
      <w:lang w:eastAsia="ru-RU"/>
    </w:rPr>
  </w:style>
  <w:style w:type="character" w:styleId="a3">
    <w:name w:val="annotation reference"/>
    <w:basedOn w:val="a0"/>
    <w:unhideWhenUsed/>
    <w:rsid w:val="00A6799A"/>
    <w:rPr>
      <w:sz w:val="16"/>
      <w:szCs w:val="16"/>
    </w:rPr>
  </w:style>
  <w:style w:type="paragraph" w:styleId="a4">
    <w:name w:val="annotation text"/>
    <w:basedOn w:val="a"/>
    <w:link w:val="a5"/>
    <w:unhideWhenUsed/>
    <w:rsid w:val="00A6799A"/>
    <w:pPr>
      <w:spacing w:line="240" w:lineRule="auto"/>
    </w:pPr>
    <w:rPr>
      <w:sz w:val="20"/>
      <w:szCs w:val="20"/>
    </w:rPr>
  </w:style>
  <w:style w:type="character" w:customStyle="1" w:styleId="a5">
    <w:name w:val="Текст примечания Знак"/>
    <w:basedOn w:val="a0"/>
    <w:link w:val="a4"/>
    <w:rsid w:val="00A6799A"/>
    <w:rPr>
      <w:sz w:val="20"/>
      <w:szCs w:val="20"/>
    </w:rPr>
  </w:style>
  <w:style w:type="paragraph" w:styleId="a6">
    <w:name w:val="annotation subject"/>
    <w:basedOn w:val="a4"/>
    <w:next w:val="a4"/>
    <w:link w:val="a7"/>
    <w:uiPriority w:val="99"/>
    <w:semiHidden/>
    <w:unhideWhenUsed/>
    <w:rsid w:val="00A6799A"/>
    <w:rPr>
      <w:b/>
      <w:bCs/>
    </w:rPr>
  </w:style>
  <w:style w:type="character" w:customStyle="1" w:styleId="a7">
    <w:name w:val="Тема примечания Знак"/>
    <w:basedOn w:val="a5"/>
    <w:link w:val="a6"/>
    <w:uiPriority w:val="99"/>
    <w:semiHidden/>
    <w:rsid w:val="00A6799A"/>
    <w:rPr>
      <w:b/>
      <w:bCs/>
      <w:sz w:val="20"/>
      <w:szCs w:val="20"/>
    </w:rPr>
  </w:style>
  <w:style w:type="paragraph" w:styleId="a8">
    <w:name w:val="Balloon Text"/>
    <w:basedOn w:val="a"/>
    <w:link w:val="a9"/>
    <w:uiPriority w:val="99"/>
    <w:semiHidden/>
    <w:unhideWhenUsed/>
    <w:rsid w:val="00A679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799A"/>
    <w:rPr>
      <w:rFonts w:ascii="Tahoma" w:hAnsi="Tahoma" w:cs="Tahoma"/>
      <w:sz w:val="16"/>
      <w:szCs w:val="16"/>
    </w:rPr>
  </w:style>
  <w:style w:type="character" w:styleId="aa">
    <w:name w:val="Hyperlink"/>
    <w:uiPriority w:val="99"/>
    <w:rsid w:val="00B764A6"/>
    <w:rPr>
      <w:color w:val="0000FF"/>
      <w:u w:val="single"/>
    </w:rPr>
  </w:style>
  <w:style w:type="paragraph" w:styleId="11">
    <w:name w:val="toc 1"/>
    <w:basedOn w:val="a"/>
    <w:next w:val="a"/>
    <w:autoRedefine/>
    <w:uiPriority w:val="39"/>
    <w:rsid w:val="00B764A6"/>
    <w:pPr>
      <w:tabs>
        <w:tab w:val="right" w:leader="dot" w:pos="9345"/>
      </w:tabs>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rsid w:val="00B764A6"/>
    <w:pPr>
      <w:spacing w:after="0" w:line="240" w:lineRule="auto"/>
      <w:ind w:left="240"/>
    </w:pPr>
    <w:rPr>
      <w:rFonts w:ascii="Times New Roman" w:eastAsia="Times New Roman" w:hAnsi="Times New Roman" w:cs="Times New Roman"/>
      <w:sz w:val="24"/>
      <w:szCs w:val="24"/>
      <w:lang w:eastAsia="ru-RU"/>
    </w:rPr>
  </w:style>
  <w:style w:type="paragraph" w:styleId="ab">
    <w:name w:val="footnote text"/>
    <w:basedOn w:val="a"/>
    <w:link w:val="ac"/>
    <w:semiHidden/>
    <w:rsid w:val="00B764A6"/>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B764A6"/>
    <w:rPr>
      <w:rFonts w:ascii="Times New Roman" w:eastAsia="Times New Roman" w:hAnsi="Times New Roman" w:cs="Times New Roman"/>
      <w:sz w:val="20"/>
      <w:szCs w:val="20"/>
      <w:lang w:eastAsia="ru-RU"/>
    </w:rPr>
  </w:style>
  <w:style w:type="character" w:styleId="ad">
    <w:name w:val="footnote reference"/>
    <w:semiHidden/>
    <w:rsid w:val="00B764A6"/>
    <w:rPr>
      <w:vertAlign w:val="superscript"/>
    </w:rPr>
  </w:style>
  <w:style w:type="paragraph" w:styleId="ae">
    <w:name w:val="List Paragraph"/>
    <w:basedOn w:val="a"/>
    <w:uiPriority w:val="34"/>
    <w:qFormat/>
    <w:rsid w:val="004F5BF6"/>
    <w:pPr>
      <w:ind w:left="720"/>
      <w:contextualSpacing/>
    </w:pPr>
    <w:rPr>
      <w:rFonts w:ascii="Calibri" w:eastAsia="Times New Roman" w:hAnsi="Calibri" w:cs="Times New Roman"/>
      <w:lang w:eastAsia="ru-RU"/>
    </w:rPr>
  </w:style>
  <w:style w:type="paragraph" w:styleId="af">
    <w:name w:val="Normal (Web)"/>
    <w:basedOn w:val="a"/>
    <w:uiPriority w:val="99"/>
    <w:unhideWhenUsed/>
    <w:rsid w:val="004F5BF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style-span">
    <w:name w:val="apple-style-span"/>
    <w:basedOn w:val="a0"/>
    <w:rsid w:val="004F5BF6"/>
  </w:style>
  <w:style w:type="character" w:customStyle="1" w:styleId="apple-converted-space">
    <w:name w:val="apple-converted-space"/>
    <w:basedOn w:val="a0"/>
    <w:rsid w:val="004F5BF6"/>
  </w:style>
  <w:style w:type="paragraph" w:styleId="af0">
    <w:name w:val="caption"/>
    <w:basedOn w:val="a"/>
    <w:next w:val="a"/>
    <w:qFormat/>
    <w:rsid w:val="009C66A3"/>
    <w:pPr>
      <w:spacing w:after="0" w:line="360" w:lineRule="auto"/>
      <w:ind w:firstLine="709"/>
      <w:jc w:val="both"/>
    </w:pPr>
    <w:rPr>
      <w:rFonts w:ascii="Times New Roman" w:eastAsia="Times New Roman" w:hAnsi="Times New Roman" w:cs="Times New Roman"/>
      <w:b/>
      <w:bCs/>
      <w:sz w:val="20"/>
      <w:szCs w:val="20"/>
      <w:lang w:eastAsia="ru-RU"/>
    </w:rPr>
  </w:style>
  <w:style w:type="character" w:styleId="af1">
    <w:name w:val="FollowedHyperlink"/>
    <w:basedOn w:val="a0"/>
    <w:uiPriority w:val="99"/>
    <w:semiHidden/>
    <w:unhideWhenUsed/>
    <w:rsid w:val="003D76B7"/>
    <w:rPr>
      <w:color w:val="800080" w:themeColor="followedHyperlink"/>
      <w:u w:val="single"/>
    </w:rPr>
  </w:style>
  <w:style w:type="paragraph" w:customStyle="1" w:styleId="xl58">
    <w:name w:val="xl58"/>
    <w:basedOn w:val="a"/>
    <w:rsid w:val="00143F8B"/>
    <w:pPr>
      <w:spacing w:before="100" w:beforeAutospacing="1" w:after="100" w:afterAutospacing="1" w:line="240" w:lineRule="auto"/>
    </w:pPr>
    <w:rPr>
      <w:rFonts w:ascii="Helvetica" w:eastAsia="Times New Roman" w:hAnsi="Helvetica" w:cs="Helvetica"/>
      <w:b/>
      <w:bCs/>
      <w:sz w:val="24"/>
      <w:szCs w:val="24"/>
      <w:lang w:eastAsia="ru-RU"/>
    </w:rPr>
  </w:style>
  <w:style w:type="paragraph" w:customStyle="1" w:styleId="xl59">
    <w:name w:val="xl59"/>
    <w:basedOn w:val="a"/>
    <w:rsid w:val="00143F8B"/>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68296">
      <w:bodyDiv w:val="1"/>
      <w:marLeft w:val="0"/>
      <w:marRight w:val="0"/>
      <w:marTop w:val="0"/>
      <w:marBottom w:val="0"/>
      <w:divBdr>
        <w:top w:val="none" w:sz="0" w:space="0" w:color="auto"/>
        <w:left w:val="none" w:sz="0" w:space="0" w:color="auto"/>
        <w:bottom w:val="none" w:sz="0" w:space="0" w:color="auto"/>
        <w:right w:val="none" w:sz="0" w:space="0" w:color="auto"/>
      </w:divBdr>
    </w:div>
    <w:div w:id="534658647">
      <w:bodyDiv w:val="1"/>
      <w:marLeft w:val="0"/>
      <w:marRight w:val="0"/>
      <w:marTop w:val="0"/>
      <w:marBottom w:val="0"/>
      <w:divBdr>
        <w:top w:val="none" w:sz="0" w:space="0" w:color="auto"/>
        <w:left w:val="none" w:sz="0" w:space="0" w:color="auto"/>
        <w:bottom w:val="none" w:sz="0" w:space="0" w:color="auto"/>
        <w:right w:val="none" w:sz="0" w:space="0" w:color="auto"/>
      </w:divBdr>
    </w:div>
    <w:div w:id="590700665">
      <w:bodyDiv w:val="1"/>
      <w:marLeft w:val="0"/>
      <w:marRight w:val="0"/>
      <w:marTop w:val="0"/>
      <w:marBottom w:val="0"/>
      <w:divBdr>
        <w:top w:val="none" w:sz="0" w:space="0" w:color="auto"/>
        <w:left w:val="none" w:sz="0" w:space="0" w:color="auto"/>
        <w:bottom w:val="none" w:sz="0" w:space="0" w:color="auto"/>
        <w:right w:val="none" w:sz="0" w:space="0" w:color="auto"/>
      </w:divBdr>
    </w:div>
    <w:div w:id="1591621792">
      <w:bodyDiv w:val="1"/>
      <w:marLeft w:val="0"/>
      <w:marRight w:val="0"/>
      <w:marTop w:val="0"/>
      <w:marBottom w:val="0"/>
      <w:divBdr>
        <w:top w:val="none" w:sz="0" w:space="0" w:color="auto"/>
        <w:left w:val="none" w:sz="0" w:space="0" w:color="auto"/>
        <w:bottom w:val="none" w:sz="0" w:space="0" w:color="auto"/>
        <w:right w:val="none" w:sz="0" w:space="0" w:color="auto"/>
      </w:divBdr>
    </w:div>
    <w:div w:id="1622489259">
      <w:bodyDiv w:val="1"/>
      <w:marLeft w:val="0"/>
      <w:marRight w:val="0"/>
      <w:marTop w:val="0"/>
      <w:marBottom w:val="0"/>
      <w:divBdr>
        <w:top w:val="none" w:sz="0" w:space="0" w:color="auto"/>
        <w:left w:val="none" w:sz="0" w:space="0" w:color="auto"/>
        <w:bottom w:val="none" w:sz="0" w:space="0" w:color="auto"/>
        <w:right w:val="none" w:sz="0" w:space="0" w:color="auto"/>
      </w:divBdr>
    </w:div>
    <w:div w:id="20968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3.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2.xml"/><Relationship Id="rId25" Type="http://schemas.openxmlformats.org/officeDocument/2006/relationships/chart" Target="charts/chart8.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cid:image001.png@01CE21CB.8C88DB20"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2.png"/><Relationship Id="rId28" Type="http://schemas.openxmlformats.org/officeDocument/2006/relationships/hyperlink" Target="http://raexpert.kz" TargetMode="External"/><Relationship Id="rId10" Type="http://schemas.openxmlformats.org/officeDocument/2006/relationships/image" Target="media/image1.emf"/><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http://www.raexpert.ru" TargetMode="External"/><Relationship Id="rId14" Type="http://schemas.openxmlformats.org/officeDocument/2006/relationships/diagramQuickStyle" Target="diagrams/quickStyle1.xml"/><Relationship Id="rId22" Type="http://schemas.openxmlformats.org/officeDocument/2006/relationships/chart" Target="charts/chart7.xml"/><Relationship Id="rId27" Type="http://schemas.openxmlformats.org/officeDocument/2006/relationships/chart" Target="charts/chart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xpert.local\ra\users\Banks\SME\2013\&#1056;&#1072;&#1089;&#1095;&#1077;&#1090;&#1099;\&#1057;&#1074;&#1077;&#1076;&#1077;&#1085;&#1085;&#1099;&#1077;%20&#1072;&#1085;&#1082;&#1077;&#1090;&#109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sekina\AppData\Local\Microsoft\Windows\Temporary%20Internet%20Files\Content.Outlook\0FE1IBUY\4+5%20&#1075;&#1088;&#1072;&#1092;&#1080;&#1082;&#1080;%20&#1085;&#1086;&#1074;&#1099;&#1077;%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sekina\AppData\Local\Microsoft\Windows\Temporary%20Internet%20Files\Content.Outlook\0FE1IBUY\4+5%20&#1075;&#1088;&#1072;&#1092;&#1080;&#1082;&#1080;%20&#1085;&#1086;&#1074;&#1099;&#1077;%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xpert.local\ra\users\banks\SME\2013\&#1056;&#1072;&#1089;&#1095;&#1077;&#1090;&#1099;\&#1057;&#1090;&#1072;&#1090;&#1080;&#1089;&#1090;&#1080;&#1082;&#1072;%20&#1056;&#1052;%20&#1089;%20&#1082;&#1086;&#1084;&#1084;&#1077;&#1085;&#1090;&#1086;&#1084;%20-%2010%20&#1084;&#1077;&#1089;&#1103;&#1094;&#1077;&#107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xpert.local\ra\users\banks\SME\2013\&#1058;&#1072;&#1073;&#1083;&#1080;&#1094;&#1072;%20&#1052;&#1057;&#1041;%20(&#1087;&#1086;&#1084;&#1077;&#1089;&#1103;&#1095;&#1085;&#108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xpert.local\ra\users\Banks\SME\2013\&#1056;&#1072;&#1089;&#1095;&#1077;&#1090;&#1099;\&#1044;&#1083;&#1103;%20&#1040;&#1085;&#1090;&#1086;&#1096;&#1080;%20&#1087;&#1086;%20&#1052;&#1057;&#104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Mskra-fs02\ra\Users\Banks\SME\2013\&#1056;&#1072;&#1089;&#1095;&#1077;&#1090;&#1099;\&#1044;&#1083;&#1103;%20&#1040;&#1085;&#1090;&#1086;&#1096;&#1080;%20&#1087;&#1086;%20&#1052;&#1057;&#104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Mskra-fs02\ra\Users\Banks\SME\2013\&#1056;&#1072;&#1089;&#1095;&#1077;&#1090;&#1099;\&#1051;&#1080;&#1089;&#1090;%20Microsoft%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xpert.local\ra\users\banks\SME\2013\&#1056;&#1072;&#1089;&#1095;&#1077;&#1090;&#1099;\&#1055;&#1088;&#1086;&#1075;&#1085;&#1086;&#1079;%20+%20&#1076;&#1080;&#1085;&#1072;&#1084;&#1080;&#1082;&#1072;%20&#1088;&#1099;&#1085;&#1082;&#107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Доля опрошенных банков использует</c:v>
          </c:tx>
          <c:invertIfNegative val="0"/>
          <c:cat>
            <c:strRef>
              <c:f>VRank!$FY$120:$FY$130</c:f>
              <c:strCache>
                <c:ptCount val="11"/>
                <c:pt idx="0">
                  <c:v>Интернет-банкинг (через мобильное приложение)</c:v>
                </c:pt>
                <c:pt idx="1">
                  <c:v>On-line заявка для заключения договора обслуживания</c:v>
                </c:pt>
                <c:pt idx="2">
                  <c:v>Смс-банкинг</c:v>
                </c:pt>
                <c:pt idx="3">
                  <c:v>Возможность группового обслуживания (связанные между собой ЮЛ и ИП рассматриваются как один клиент)</c:v>
                </c:pt>
                <c:pt idx="4">
                  <c:v>Повышенные процентные ставки по счетам с неснижаемым остатков</c:v>
                </c:pt>
                <c:pt idx="5">
                  <c:v>Интернет-банкинг (через сайт банка)</c:v>
                </c:pt>
                <c:pt idx="6">
                  <c:v>Инкассация</c:v>
                </c:pt>
                <c:pt idx="7">
                  <c:v>Документарные операции</c:v>
                </c:pt>
                <c:pt idx="8">
                  <c:v>Обслуживание внешнеэкономической деятельности</c:v>
                </c:pt>
                <c:pt idx="9">
                  <c:v>Конверсионные операции</c:v>
                </c:pt>
                <c:pt idx="10">
                  <c:v>Зарплатные проекты</c:v>
                </c:pt>
              </c:strCache>
            </c:strRef>
          </c:cat>
          <c:val>
            <c:numRef>
              <c:f>VRank!$FZ$120:$FZ$130</c:f>
              <c:numCache>
                <c:formatCode>0%</c:formatCode>
                <c:ptCount val="11"/>
                <c:pt idx="0">
                  <c:v>0.22826086956521738</c:v>
                </c:pt>
                <c:pt idx="1">
                  <c:v>0.32608695652173914</c:v>
                </c:pt>
                <c:pt idx="2">
                  <c:v>0.36956521739130432</c:v>
                </c:pt>
                <c:pt idx="3">
                  <c:v>0.40217391304347827</c:v>
                </c:pt>
                <c:pt idx="4">
                  <c:v>0.5</c:v>
                </c:pt>
                <c:pt idx="5">
                  <c:v>0.68478260869565222</c:v>
                </c:pt>
                <c:pt idx="6">
                  <c:v>0.72826086956521741</c:v>
                </c:pt>
                <c:pt idx="7">
                  <c:v>0.80434782608695654</c:v>
                </c:pt>
                <c:pt idx="8">
                  <c:v>0.83695652173913049</c:v>
                </c:pt>
                <c:pt idx="9">
                  <c:v>0.88043478260869568</c:v>
                </c:pt>
                <c:pt idx="10">
                  <c:v>0.91304347826086951</c:v>
                </c:pt>
              </c:numCache>
            </c:numRef>
          </c:val>
        </c:ser>
        <c:dLbls>
          <c:showLegendKey val="0"/>
          <c:showVal val="0"/>
          <c:showCatName val="0"/>
          <c:showSerName val="0"/>
          <c:showPercent val="0"/>
          <c:showBubbleSize val="0"/>
        </c:dLbls>
        <c:gapWidth val="150"/>
        <c:axId val="168956672"/>
        <c:axId val="168959360"/>
      </c:barChart>
      <c:catAx>
        <c:axId val="168956672"/>
        <c:scaling>
          <c:orientation val="minMax"/>
        </c:scaling>
        <c:delete val="0"/>
        <c:axPos val="l"/>
        <c:numFmt formatCode="General" sourceLinked="0"/>
        <c:majorTickMark val="out"/>
        <c:minorTickMark val="none"/>
        <c:tickLblPos val="nextTo"/>
        <c:txPr>
          <a:bodyPr/>
          <a:lstStyle/>
          <a:p>
            <a:pPr>
              <a:defRPr sz="800"/>
            </a:pPr>
            <a:endParaRPr lang="ru-RU"/>
          </a:p>
        </c:txPr>
        <c:crossAx val="168959360"/>
        <c:crosses val="autoZero"/>
        <c:auto val="0"/>
        <c:lblAlgn val="ctr"/>
        <c:lblOffset val="100"/>
        <c:noMultiLvlLbl val="0"/>
      </c:catAx>
      <c:valAx>
        <c:axId val="168959360"/>
        <c:scaling>
          <c:orientation val="minMax"/>
        </c:scaling>
        <c:delete val="0"/>
        <c:axPos val="b"/>
        <c:majorGridlines/>
        <c:numFmt formatCode="0%" sourceLinked="1"/>
        <c:majorTickMark val="out"/>
        <c:minorTickMark val="none"/>
        <c:tickLblPos val="nextTo"/>
        <c:crossAx val="1689566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'График 4'!$A$13</c:f>
              <c:strCache>
                <c:ptCount val="1"/>
                <c:pt idx="0">
                  <c:v>Торговля</c:v>
                </c:pt>
              </c:strCache>
            </c:strRef>
          </c:tx>
          <c:spPr>
            <a:solidFill>
              <a:schemeClr val="tx1"/>
            </a:solidFill>
          </c:spPr>
          <c:invertIfNegative val="0"/>
          <c:dPt>
            <c:idx val="0"/>
            <c:invertIfNegative val="0"/>
            <c:bubble3D val="0"/>
            <c:spPr>
              <a:solidFill>
                <a:schemeClr val="tx1"/>
              </a:solidFill>
            </c:spPr>
          </c:dPt>
          <c:dLbls>
            <c:txPr>
              <a:bodyPr/>
              <a:lstStyle/>
              <a:p>
                <a:pPr>
                  <a:defRPr sz="1200">
                    <a:solidFill>
                      <a:schemeClr val="bg1"/>
                    </a:solidFill>
                  </a:defRPr>
                </a:pPr>
                <a:endParaRPr lang="ru-RU"/>
              </a:p>
            </c:txPr>
            <c:dLblPos val="ctr"/>
            <c:showLegendKey val="0"/>
            <c:showVal val="1"/>
            <c:showCatName val="0"/>
            <c:showSerName val="0"/>
            <c:showPercent val="0"/>
            <c:showBubbleSize val="0"/>
            <c:showLeaderLines val="0"/>
          </c:dLbls>
          <c:cat>
            <c:numRef>
              <c:f>'График 4'!$B$12:$D$12</c:f>
              <c:numCache>
                <c:formatCode>General</c:formatCode>
                <c:ptCount val="3"/>
                <c:pt idx="0">
                  <c:v>2010</c:v>
                </c:pt>
                <c:pt idx="1">
                  <c:v>2011</c:v>
                </c:pt>
                <c:pt idx="2">
                  <c:v>2012</c:v>
                </c:pt>
              </c:numCache>
            </c:numRef>
          </c:cat>
          <c:val>
            <c:numRef>
              <c:f>'График 4'!$B$13:$D$13</c:f>
              <c:numCache>
                <c:formatCode>0%</c:formatCode>
                <c:ptCount val="3"/>
                <c:pt idx="0">
                  <c:v>0.46</c:v>
                </c:pt>
                <c:pt idx="1">
                  <c:v>0.45</c:v>
                </c:pt>
                <c:pt idx="2">
                  <c:v>0.5</c:v>
                </c:pt>
              </c:numCache>
            </c:numRef>
          </c:val>
        </c:ser>
        <c:ser>
          <c:idx val="1"/>
          <c:order val="1"/>
          <c:tx>
            <c:strRef>
              <c:f>'График 4'!$A$14</c:f>
              <c:strCache>
                <c:ptCount val="1"/>
                <c:pt idx="0">
                  <c:v>Другое</c:v>
                </c:pt>
              </c:strCache>
            </c:strRef>
          </c:tx>
          <c:invertIfNegative val="0"/>
          <c:dPt>
            <c:idx val="0"/>
            <c:invertIfNegative val="0"/>
            <c:bubble3D val="0"/>
            <c:spPr>
              <a:solidFill>
                <a:srgbClr val="FF0000"/>
              </a:solidFill>
            </c:spPr>
          </c:dPt>
          <c:dPt>
            <c:idx val="1"/>
            <c:invertIfNegative val="0"/>
            <c:bubble3D val="0"/>
            <c:spPr>
              <a:solidFill>
                <a:srgbClr val="FF0000"/>
              </a:solidFill>
            </c:spPr>
          </c:dPt>
          <c:dPt>
            <c:idx val="2"/>
            <c:invertIfNegative val="0"/>
            <c:bubble3D val="0"/>
            <c:spPr>
              <a:solidFill>
                <a:srgbClr val="FF0000"/>
              </a:solidFill>
            </c:spPr>
          </c:dPt>
          <c:dLbls>
            <c:txPr>
              <a:bodyPr/>
              <a:lstStyle/>
              <a:p>
                <a:pPr>
                  <a:defRPr sz="1200"/>
                </a:pPr>
                <a:endParaRPr lang="ru-RU"/>
              </a:p>
            </c:txPr>
            <c:dLblPos val="ctr"/>
            <c:showLegendKey val="0"/>
            <c:showVal val="1"/>
            <c:showCatName val="0"/>
            <c:showSerName val="0"/>
            <c:showPercent val="0"/>
            <c:showBubbleSize val="0"/>
            <c:showLeaderLines val="0"/>
          </c:dLbls>
          <c:cat>
            <c:numRef>
              <c:f>'График 4'!$B$12:$D$12</c:f>
              <c:numCache>
                <c:formatCode>General</c:formatCode>
                <c:ptCount val="3"/>
                <c:pt idx="0">
                  <c:v>2010</c:v>
                </c:pt>
                <c:pt idx="1">
                  <c:v>2011</c:v>
                </c:pt>
                <c:pt idx="2">
                  <c:v>2012</c:v>
                </c:pt>
              </c:numCache>
            </c:numRef>
          </c:cat>
          <c:val>
            <c:numRef>
              <c:f>'График 4'!$B$14:$D$14</c:f>
              <c:numCache>
                <c:formatCode>0%</c:formatCode>
                <c:ptCount val="3"/>
                <c:pt idx="0">
                  <c:v>0.27</c:v>
                </c:pt>
                <c:pt idx="1">
                  <c:v>0.24</c:v>
                </c:pt>
                <c:pt idx="2">
                  <c:v>0.21</c:v>
                </c:pt>
              </c:numCache>
            </c:numRef>
          </c:val>
        </c:ser>
        <c:ser>
          <c:idx val="2"/>
          <c:order val="2"/>
          <c:tx>
            <c:strRef>
              <c:f>'График 4'!$A$15</c:f>
              <c:strCache>
                <c:ptCount val="1"/>
                <c:pt idx="0">
                  <c:v>Обрабатывающие производства</c:v>
                </c:pt>
              </c:strCache>
            </c:strRef>
          </c:tx>
          <c:spPr>
            <a:solidFill>
              <a:schemeClr val="bg1">
                <a:lumMod val="50000"/>
              </a:schemeClr>
            </a:solidFill>
          </c:spPr>
          <c:invertIfNegative val="0"/>
          <c:dLbls>
            <c:txPr>
              <a:bodyPr/>
              <a:lstStyle/>
              <a:p>
                <a:pPr>
                  <a:defRPr sz="1200"/>
                </a:pPr>
                <a:endParaRPr lang="ru-RU"/>
              </a:p>
            </c:txPr>
            <c:dLblPos val="ctr"/>
            <c:showLegendKey val="0"/>
            <c:showVal val="1"/>
            <c:showCatName val="0"/>
            <c:showSerName val="0"/>
            <c:showPercent val="0"/>
            <c:showBubbleSize val="0"/>
            <c:showLeaderLines val="0"/>
          </c:dLbls>
          <c:cat>
            <c:numRef>
              <c:f>'График 4'!$B$12:$D$12</c:f>
              <c:numCache>
                <c:formatCode>General</c:formatCode>
                <c:ptCount val="3"/>
                <c:pt idx="0">
                  <c:v>2010</c:v>
                </c:pt>
                <c:pt idx="1">
                  <c:v>2011</c:v>
                </c:pt>
                <c:pt idx="2">
                  <c:v>2012</c:v>
                </c:pt>
              </c:numCache>
            </c:numRef>
          </c:cat>
          <c:val>
            <c:numRef>
              <c:f>'График 4'!$B$15:$D$15</c:f>
              <c:numCache>
                <c:formatCode>0%</c:formatCode>
                <c:ptCount val="3"/>
                <c:pt idx="0">
                  <c:v>0.1</c:v>
                </c:pt>
                <c:pt idx="1">
                  <c:v>0.14560191469726674</c:v>
                </c:pt>
                <c:pt idx="2">
                  <c:v>0.14400234858992611</c:v>
                </c:pt>
              </c:numCache>
            </c:numRef>
          </c:val>
        </c:ser>
        <c:ser>
          <c:idx val="4"/>
          <c:order val="3"/>
          <c:tx>
            <c:strRef>
              <c:f>'График 4'!$A$16</c:f>
              <c:strCache>
                <c:ptCount val="1"/>
                <c:pt idx="0">
                  <c:v>Строительство</c:v>
                </c:pt>
              </c:strCache>
            </c:strRef>
          </c:tx>
          <c:spPr>
            <a:solidFill>
              <a:srgbClr val="B94845"/>
            </a:solidFill>
          </c:spPr>
          <c:invertIfNegative val="0"/>
          <c:dLbls>
            <c:txPr>
              <a:bodyPr/>
              <a:lstStyle/>
              <a:p>
                <a:pPr>
                  <a:defRPr sz="1200"/>
                </a:pPr>
                <a:endParaRPr lang="ru-RU"/>
              </a:p>
            </c:txPr>
            <c:dLblPos val="ctr"/>
            <c:showLegendKey val="0"/>
            <c:showVal val="1"/>
            <c:showCatName val="0"/>
            <c:showSerName val="0"/>
            <c:showPercent val="0"/>
            <c:showBubbleSize val="0"/>
            <c:showLeaderLines val="0"/>
          </c:dLbls>
          <c:cat>
            <c:numRef>
              <c:f>'График 4'!$B$12:$D$12</c:f>
              <c:numCache>
                <c:formatCode>General</c:formatCode>
                <c:ptCount val="3"/>
                <c:pt idx="0">
                  <c:v>2010</c:v>
                </c:pt>
                <c:pt idx="1">
                  <c:v>2011</c:v>
                </c:pt>
                <c:pt idx="2">
                  <c:v>2012</c:v>
                </c:pt>
              </c:numCache>
            </c:numRef>
          </c:cat>
          <c:val>
            <c:numRef>
              <c:f>'График 4'!$B$16:$D$16</c:f>
              <c:numCache>
                <c:formatCode>0%</c:formatCode>
                <c:ptCount val="3"/>
                <c:pt idx="0">
                  <c:v>7.0000000000000007E-2</c:v>
                </c:pt>
                <c:pt idx="1">
                  <c:v>7.6340933960002674E-2</c:v>
                </c:pt>
                <c:pt idx="2">
                  <c:v>8.4578317849427723E-2</c:v>
                </c:pt>
              </c:numCache>
            </c:numRef>
          </c:val>
        </c:ser>
        <c:ser>
          <c:idx val="5"/>
          <c:order val="4"/>
          <c:tx>
            <c:strRef>
              <c:f>'График 4'!$A$17</c:f>
              <c:strCache>
                <c:ptCount val="1"/>
                <c:pt idx="0">
                  <c:v>Операции с недвижимым имуществом</c:v>
                </c:pt>
              </c:strCache>
            </c:strRef>
          </c:tx>
          <c:spPr>
            <a:solidFill>
              <a:schemeClr val="bg1">
                <a:lumMod val="75000"/>
              </a:schemeClr>
            </a:solidFill>
          </c:spPr>
          <c:invertIfNegative val="0"/>
          <c:dLbls>
            <c:txPr>
              <a:bodyPr/>
              <a:lstStyle/>
              <a:p>
                <a:pPr>
                  <a:defRPr sz="1200"/>
                </a:pPr>
                <a:endParaRPr lang="ru-RU"/>
              </a:p>
            </c:txPr>
            <c:dLblPos val="ctr"/>
            <c:showLegendKey val="0"/>
            <c:showVal val="1"/>
            <c:showCatName val="0"/>
            <c:showSerName val="0"/>
            <c:showPercent val="0"/>
            <c:showBubbleSize val="0"/>
            <c:showLeaderLines val="0"/>
          </c:dLbls>
          <c:cat>
            <c:numRef>
              <c:f>'График 4'!$B$12:$D$12</c:f>
              <c:numCache>
                <c:formatCode>General</c:formatCode>
                <c:ptCount val="3"/>
                <c:pt idx="0">
                  <c:v>2010</c:v>
                </c:pt>
                <c:pt idx="1">
                  <c:v>2011</c:v>
                </c:pt>
                <c:pt idx="2">
                  <c:v>2012</c:v>
                </c:pt>
              </c:numCache>
            </c:numRef>
          </c:cat>
          <c:val>
            <c:numRef>
              <c:f>'График 4'!$B$17:$D$17</c:f>
              <c:numCache>
                <c:formatCode>0%</c:formatCode>
                <c:ptCount val="3"/>
                <c:pt idx="0">
                  <c:v>0.1</c:v>
                </c:pt>
                <c:pt idx="1">
                  <c:v>8.4407861671716961E-2</c:v>
                </c:pt>
                <c:pt idx="2">
                  <c:v>5.6875322722850452E-2</c:v>
                </c:pt>
              </c:numCache>
            </c:numRef>
          </c:val>
        </c:ser>
        <c:dLbls>
          <c:dLblPos val="ctr"/>
          <c:showLegendKey val="0"/>
          <c:showVal val="1"/>
          <c:showCatName val="0"/>
          <c:showSerName val="0"/>
          <c:showPercent val="0"/>
          <c:showBubbleSize val="0"/>
        </c:dLbls>
        <c:gapWidth val="150"/>
        <c:overlap val="100"/>
        <c:serLines/>
        <c:axId val="185196544"/>
        <c:axId val="185198080"/>
      </c:barChart>
      <c:catAx>
        <c:axId val="185196544"/>
        <c:scaling>
          <c:orientation val="minMax"/>
        </c:scaling>
        <c:delete val="0"/>
        <c:axPos val="b"/>
        <c:numFmt formatCode="General" sourceLinked="1"/>
        <c:majorTickMark val="out"/>
        <c:minorTickMark val="none"/>
        <c:tickLblPos val="nextTo"/>
        <c:txPr>
          <a:bodyPr/>
          <a:lstStyle/>
          <a:p>
            <a:pPr>
              <a:defRPr sz="1200"/>
            </a:pPr>
            <a:endParaRPr lang="ru-RU"/>
          </a:p>
        </c:txPr>
        <c:crossAx val="185198080"/>
        <c:crosses val="autoZero"/>
        <c:auto val="1"/>
        <c:lblAlgn val="ctr"/>
        <c:lblOffset val="100"/>
        <c:noMultiLvlLbl val="0"/>
      </c:catAx>
      <c:valAx>
        <c:axId val="185198080"/>
        <c:scaling>
          <c:orientation val="minMax"/>
        </c:scaling>
        <c:delete val="0"/>
        <c:axPos val="l"/>
        <c:majorGridlines/>
        <c:numFmt formatCode="0%" sourceLinked="1"/>
        <c:majorTickMark val="out"/>
        <c:minorTickMark val="none"/>
        <c:tickLblPos val="nextTo"/>
        <c:crossAx val="185196544"/>
        <c:crosses val="autoZero"/>
        <c:crossBetween val="between"/>
      </c:valAx>
    </c:plotArea>
    <c:legend>
      <c:legendPos val="b"/>
      <c:layout>
        <c:manualLayout>
          <c:xMode val="edge"/>
          <c:yMode val="edge"/>
          <c:x val="8.3831719652494321E-2"/>
          <c:y val="0.76795527094739691"/>
          <c:w val="0.77663808632356635"/>
          <c:h val="0.19840803687951583"/>
        </c:manualLayout>
      </c:layout>
      <c:overlay val="0"/>
      <c:txPr>
        <a:bodyPr/>
        <a:lstStyle/>
        <a:p>
          <a:pPr>
            <a:defRPr sz="1200"/>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1"/>
          <c:order val="0"/>
          <c:tx>
            <c:strRef>
              <c:f>'График 5'!$D$16</c:f>
              <c:strCache>
                <c:ptCount val="1"/>
                <c:pt idx="0">
                  <c:v>до 12 месяцев</c:v>
                </c:pt>
              </c:strCache>
            </c:strRef>
          </c:tx>
          <c:spPr>
            <a:solidFill>
              <a:schemeClr val="tx1"/>
            </a:solidFill>
          </c:spPr>
          <c:invertIfNegative val="0"/>
          <c:dPt>
            <c:idx val="0"/>
            <c:invertIfNegative val="0"/>
            <c:bubble3D val="0"/>
          </c:dPt>
          <c:dPt>
            <c:idx val="1"/>
            <c:invertIfNegative val="0"/>
            <c:bubble3D val="0"/>
            <c:spPr>
              <a:solidFill>
                <a:schemeClr val="tx1"/>
              </a:solidFill>
            </c:spPr>
          </c:dPt>
          <c:dLbls>
            <c:txPr>
              <a:bodyPr/>
              <a:lstStyle/>
              <a:p>
                <a:pPr>
                  <a:defRPr sz="1200">
                    <a:solidFill>
                      <a:schemeClr val="bg1"/>
                    </a:solidFill>
                  </a:defRPr>
                </a:pPr>
                <a:endParaRPr lang="ru-RU"/>
              </a:p>
            </c:txPr>
            <c:showLegendKey val="0"/>
            <c:showVal val="1"/>
            <c:showCatName val="0"/>
            <c:showSerName val="0"/>
            <c:showPercent val="0"/>
            <c:showBubbleSize val="0"/>
            <c:showLeaderLines val="0"/>
          </c:dLbls>
          <c:cat>
            <c:numRef>
              <c:f>'График 5'!$F$15:$H$15</c:f>
              <c:numCache>
                <c:formatCode>General</c:formatCode>
                <c:ptCount val="3"/>
                <c:pt idx="0">
                  <c:v>2010</c:v>
                </c:pt>
                <c:pt idx="1">
                  <c:v>2011</c:v>
                </c:pt>
                <c:pt idx="2">
                  <c:v>2012</c:v>
                </c:pt>
              </c:numCache>
            </c:numRef>
          </c:cat>
          <c:val>
            <c:numRef>
              <c:f>'График 5'!$F$16:$H$16</c:f>
              <c:numCache>
                <c:formatCode>General</c:formatCode>
                <c:ptCount val="3"/>
                <c:pt idx="0">
                  <c:v>64</c:v>
                </c:pt>
                <c:pt idx="1">
                  <c:v>56</c:v>
                </c:pt>
                <c:pt idx="2">
                  <c:v>63</c:v>
                </c:pt>
              </c:numCache>
            </c:numRef>
          </c:val>
        </c:ser>
        <c:ser>
          <c:idx val="2"/>
          <c:order val="1"/>
          <c:tx>
            <c:strRef>
              <c:f>'График 5'!$D$17</c:f>
              <c:strCache>
                <c:ptCount val="1"/>
                <c:pt idx="0">
                  <c:v>1-3 года</c:v>
                </c:pt>
              </c:strCache>
            </c:strRef>
          </c:tx>
          <c:spPr>
            <a:solidFill>
              <a:srgbClr val="FF0000"/>
            </a:solidFill>
          </c:spPr>
          <c:invertIfNegative val="0"/>
          <c:dLbls>
            <c:txPr>
              <a:bodyPr/>
              <a:lstStyle/>
              <a:p>
                <a:pPr>
                  <a:defRPr sz="1200"/>
                </a:pPr>
                <a:endParaRPr lang="ru-RU"/>
              </a:p>
            </c:txPr>
            <c:showLegendKey val="0"/>
            <c:showVal val="1"/>
            <c:showCatName val="0"/>
            <c:showSerName val="0"/>
            <c:showPercent val="0"/>
            <c:showBubbleSize val="0"/>
            <c:showLeaderLines val="0"/>
          </c:dLbls>
          <c:cat>
            <c:numRef>
              <c:f>'График 5'!$F$15:$H$15</c:f>
              <c:numCache>
                <c:formatCode>General</c:formatCode>
                <c:ptCount val="3"/>
                <c:pt idx="0">
                  <c:v>2010</c:v>
                </c:pt>
                <c:pt idx="1">
                  <c:v>2011</c:v>
                </c:pt>
                <c:pt idx="2">
                  <c:v>2012</c:v>
                </c:pt>
              </c:numCache>
            </c:numRef>
          </c:cat>
          <c:val>
            <c:numRef>
              <c:f>'График 5'!$F$17:$H$17</c:f>
              <c:numCache>
                <c:formatCode>General</c:formatCode>
                <c:ptCount val="3"/>
                <c:pt idx="0">
                  <c:v>18</c:v>
                </c:pt>
                <c:pt idx="1">
                  <c:v>25</c:v>
                </c:pt>
                <c:pt idx="2">
                  <c:v>20</c:v>
                </c:pt>
              </c:numCache>
            </c:numRef>
          </c:val>
        </c:ser>
        <c:ser>
          <c:idx val="3"/>
          <c:order val="2"/>
          <c:tx>
            <c:strRef>
              <c:f>'График 5'!$D$18</c:f>
              <c:strCache>
                <c:ptCount val="1"/>
                <c:pt idx="0">
                  <c:v>более 3 лет</c:v>
                </c:pt>
              </c:strCache>
            </c:strRef>
          </c:tx>
          <c:spPr>
            <a:solidFill>
              <a:schemeClr val="bg1">
                <a:lumMod val="50000"/>
              </a:schemeClr>
            </a:solidFill>
          </c:spPr>
          <c:invertIfNegative val="0"/>
          <c:dLbls>
            <c:txPr>
              <a:bodyPr/>
              <a:lstStyle/>
              <a:p>
                <a:pPr>
                  <a:defRPr sz="1200"/>
                </a:pPr>
                <a:endParaRPr lang="ru-RU"/>
              </a:p>
            </c:txPr>
            <c:showLegendKey val="0"/>
            <c:showVal val="1"/>
            <c:showCatName val="0"/>
            <c:showSerName val="0"/>
            <c:showPercent val="0"/>
            <c:showBubbleSize val="0"/>
            <c:showLeaderLines val="0"/>
          </c:dLbls>
          <c:cat>
            <c:numRef>
              <c:f>'График 5'!$F$15:$H$15</c:f>
              <c:numCache>
                <c:formatCode>General</c:formatCode>
                <c:ptCount val="3"/>
                <c:pt idx="0">
                  <c:v>2010</c:v>
                </c:pt>
                <c:pt idx="1">
                  <c:v>2011</c:v>
                </c:pt>
                <c:pt idx="2">
                  <c:v>2012</c:v>
                </c:pt>
              </c:numCache>
            </c:numRef>
          </c:cat>
          <c:val>
            <c:numRef>
              <c:f>'График 5'!$F$18:$H$18</c:f>
              <c:numCache>
                <c:formatCode>General</c:formatCode>
                <c:ptCount val="3"/>
                <c:pt idx="0">
                  <c:v>18</c:v>
                </c:pt>
                <c:pt idx="1">
                  <c:v>19</c:v>
                </c:pt>
                <c:pt idx="2">
                  <c:v>17</c:v>
                </c:pt>
              </c:numCache>
            </c:numRef>
          </c:val>
        </c:ser>
        <c:dLbls>
          <c:showLegendKey val="0"/>
          <c:showVal val="1"/>
          <c:showCatName val="0"/>
          <c:showSerName val="0"/>
          <c:showPercent val="0"/>
          <c:showBubbleSize val="0"/>
        </c:dLbls>
        <c:gapWidth val="150"/>
        <c:overlap val="100"/>
        <c:serLines/>
        <c:axId val="185225984"/>
        <c:axId val="185227520"/>
      </c:barChart>
      <c:catAx>
        <c:axId val="185225984"/>
        <c:scaling>
          <c:orientation val="minMax"/>
        </c:scaling>
        <c:delete val="0"/>
        <c:axPos val="b"/>
        <c:numFmt formatCode="General" sourceLinked="1"/>
        <c:majorTickMark val="out"/>
        <c:minorTickMark val="none"/>
        <c:tickLblPos val="nextTo"/>
        <c:txPr>
          <a:bodyPr/>
          <a:lstStyle/>
          <a:p>
            <a:pPr>
              <a:defRPr sz="1200"/>
            </a:pPr>
            <a:endParaRPr lang="ru-RU"/>
          </a:p>
        </c:txPr>
        <c:crossAx val="185227520"/>
        <c:crosses val="autoZero"/>
        <c:auto val="1"/>
        <c:lblAlgn val="ctr"/>
        <c:lblOffset val="100"/>
        <c:noMultiLvlLbl val="0"/>
      </c:catAx>
      <c:valAx>
        <c:axId val="185227520"/>
        <c:scaling>
          <c:orientation val="minMax"/>
        </c:scaling>
        <c:delete val="0"/>
        <c:axPos val="l"/>
        <c:majorGridlines/>
        <c:numFmt formatCode="0%" sourceLinked="1"/>
        <c:majorTickMark val="out"/>
        <c:minorTickMark val="none"/>
        <c:tickLblPos val="nextTo"/>
        <c:crossAx val="185225984"/>
        <c:crosses val="autoZero"/>
        <c:crossBetween val="between"/>
      </c:valAx>
    </c:plotArea>
    <c:legend>
      <c:legendPos val="b"/>
      <c:overlay val="0"/>
      <c:txPr>
        <a:bodyPr/>
        <a:lstStyle/>
        <a:p>
          <a:pPr>
            <a:defRPr sz="1200"/>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91513437057989E-2"/>
          <c:y val="6.0324825986078884E-2"/>
          <c:w val="0.92220650636492218"/>
          <c:h val="0.59164733178654294"/>
        </c:manualLayout>
      </c:layout>
      <c:lineChart>
        <c:grouping val="standard"/>
        <c:varyColors val="0"/>
        <c:ser>
          <c:idx val="4"/>
          <c:order val="0"/>
          <c:tx>
            <c:strRef>
              <c:f>Графики!$A$14</c:f>
              <c:strCache>
                <c:ptCount val="1"/>
                <c:pt idx="0">
                  <c:v>Просроченнная задолженность ФЛ, %</c:v>
                </c:pt>
              </c:strCache>
            </c:strRef>
          </c:tx>
          <c:spPr>
            <a:ln w="12700">
              <a:solidFill>
                <a:schemeClr val="tx1">
                  <a:lumMod val="95000"/>
                  <a:lumOff val="5000"/>
                </a:schemeClr>
              </a:solidFill>
              <a:prstDash val="solid"/>
            </a:ln>
          </c:spPr>
          <c:marker>
            <c:symbol val="star"/>
            <c:size val="5"/>
            <c:spPr>
              <a:solidFill>
                <a:schemeClr val="tx1">
                  <a:lumMod val="95000"/>
                  <a:lumOff val="5000"/>
                </a:schemeClr>
              </a:solidFill>
              <a:ln>
                <a:solidFill>
                  <a:schemeClr val="tx1">
                    <a:lumMod val="95000"/>
                    <a:lumOff val="5000"/>
                  </a:schemeClr>
                </a:solidFill>
                <a:prstDash val="solid"/>
              </a:ln>
            </c:spPr>
          </c:marker>
          <c:dLbls>
            <c:numFmt formatCode="0.00" sourceLinked="0"/>
            <c:spPr>
              <a:noFill/>
              <a:ln w="25400">
                <a:noFill/>
              </a:ln>
            </c:spPr>
            <c:txPr>
              <a:bodyPr/>
              <a:lstStyle/>
              <a:p>
                <a:pPr>
                  <a:defRPr sz="10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numRef>
              <c:f>Графики!$F$8:$R$8</c:f>
              <c:numCache>
                <c:formatCode>dd/mm/yy;@</c:formatCode>
                <c:ptCount val="13"/>
                <c:pt idx="0">
                  <c:v>40179</c:v>
                </c:pt>
                <c:pt idx="1">
                  <c:v>40269</c:v>
                </c:pt>
                <c:pt idx="2">
                  <c:v>40360</c:v>
                </c:pt>
                <c:pt idx="3" formatCode="m/d/yyyy">
                  <c:v>40452</c:v>
                </c:pt>
                <c:pt idx="4" formatCode="m/d/yyyy">
                  <c:v>40544</c:v>
                </c:pt>
                <c:pt idx="5" formatCode="m/d/yyyy">
                  <c:v>40634</c:v>
                </c:pt>
                <c:pt idx="6" formatCode="m/d/yyyy">
                  <c:v>40725</c:v>
                </c:pt>
                <c:pt idx="7" formatCode="m/d/yyyy">
                  <c:v>40817</c:v>
                </c:pt>
                <c:pt idx="8" formatCode="m/d/yyyy">
                  <c:v>40909</c:v>
                </c:pt>
                <c:pt idx="9" formatCode="m/d/yyyy">
                  <c:v>41000</c:v>
                </c:pt>
                <c:pt idx="10" formatCode="m/d/yyyy">
                  <c:v>41091</c:v>
                </c:pt>
                <c:pt idx="11" formatCode="m/d/yyyy">
                  <c:v>41183</c:v>
                </c:pt>
                <c:pt idx="12" formatCode="m/d/yyyy">
                  <c:v>41275</c:v>
                </c:pt>
              </c:numCache>
            </c:numRef>
          </c:cat>
          <c:val>
            <c:numRef>
              <c:f>Графики!$F$14:$R$14</c:f>
              <c:numCache>
                <c:formatCode>0.00%</c:formatCode>
                <c:ptCount val="13"/>
                <c:pt idx="0">
                  <c:v>6.7994851418658007</c:v>
                </c:pt>
                <c:pt idx="1">
                  <c:v>7.3862511664734312</c:v>
                </c:pt>
                <c:pt idx="2">
                  <c:v>7.4801219910685095</c:v>
                </c:pt>
                <c:pt idx="3">
                  <c:v>7.2766840933536772</c:v>
                </c:pt>
                <c:pt idx="4">
                  <c:v>6.9109870740305528</c:v>
                </c:pt>
                <c:pt idx="5">
                  <c:v>6.8784583094829221</c:v>
                </c:pt>
                <c:pt idx="6">
                  <c:v>6.4486371323771676</c:v>
                </c:pt>
                <c:pt idx="7">
                  <c:v>5.9465755858719467</c:v>
                </c:pt>
                <c:pt idx="8">
                  <c:v>5.2441946351042175</c:v>
                </c:pt>
                <c:pt idx="9">
                  <c:v>5.085579549117063</c:v>
                </c:pt>
                <c:pt idx="10">
                  <c:v>4.6298268569515866</c:v>
                </c:pt>
                <c:pt idx="11">
                  <c:v>4.428712774704219</c:v>
                </c:pt>
                <c:pt idx="12">
                  <c:v>4.0454433831797445</c:v>
                </c:pt>
              </c:numCache>
            </c:numRef>
          </c:val>
          <c:smooth val="0"/>
        </c:ser>
        <c:ser>
          <c:idx val="0"/>
          <c:order val="1"/>
          <c:tx>
            <c:strRef>
              <c:f>Графики!$A$15</c:f>
              <c:strCache>
                <c:ptCount val="1"/>
                <c:pt idx="0">
                  <c:v>Просроченная задолженность, МСБ, %</c:v>
                </c:pt>
              </c:strCache>
            </c:strRef>
          </c:tx>
          <c:spPr>
            <a:ln w="25400">
              <a:solidFill>
                <a:srgbClr val="FF0000"/>
              </a:solidFill>
              <a:prstDash val="solid"/>
            </a:ln>
          </c:spPr>
          <c:marker>
            <c:symbol val="diamond"/>
            <c:size val="7"/>
            <c:spPr>
              <a:solidFill>
                <a:srgbClr val="FF0000"/>
              </a:solidFill>
              <a:ln>
                <a:solidFill>
                  <a:srgbClr val="FF0000"/>
                </a:solidFill>
                <a:prstDash val="solid"/>
              </a:ln>
            </c:spPr>
          </c:marker>
          <c:dLbls>
            <c:numFmt formatCode="0.00" sourceLinked="0"/>
            <c:spPr>
              <a:noFill/>
              <a:ln w="25400">
                <a:noFill/>
              </a:ln>
            </c:spPr>
            <c:txPr>
              <a:bodyPr/>
              <a:lstStyle/>
              <a:p>
                <a:pPr>
                  <a:defRPr sz="10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numRef>
              <c:f>Графики!$F$8:$R$8</c:f>
              <c:numCache>
                <c:formatCode>dd/mm/yy;@</c:formatCode>
                <c:ptCount val="13"/>
                <c:pt idx="0">
                  <c:v>40179</c:v>
                </c:pt>
                <c:pt idx="1">
                  <c:v>40269</c:v>
                </c:pt>
                <c:pt idx="2">
                  <c:v>40360</c:v>
                </c:pt>
                <c:pt idx="3" formatCode="m/d/yyyy">
                  <c:v>40452</c:v>
                </c:pt>
                <c:pt idx="4" formatCode="m/d/yyyy">
                  <c:v>40544</c:v>
                </c:pt>
                <c:pt idx="5" formatCode="m/d/yyyy">
                  <c:v>40634</c:v>
                </c:pt>
                <c:pt idx="6" formatCode="m/d/yyyy">
                  <c:v>40725</c:v>
                </c:pt>
                <c:pt idx="7" formatCode="m/d/yyyy">
                  <c:v>40817</c:v>
                </c:pt>
                <c:pt idx="8" formatCode="m/d/yyyy">
                  <c:v>40909</c:v>
                </c:pt>
                <c:pt idx="9" formatCode="m/d/yyyy">
                  <c:v>41000</c:v>
                </c:pt>
                <c:pt idx="10" formatCode="m/d/yyyy">
                  <c:v>41091</c:v>
                </c:pt>
                <c:pt idx="11" formatCode="m/d/yyyy">
                  <c:v>41183</c:v>
                </c:pt>
                <c:pt idx="12" formatCode="m/d/yyyy">
                  <c:v>41275</c:v>
                </c:pt>
              </c:numCache>
            </c:numRef>
          </c:cat>
          <c:val>
            <c:numRef>
              <c:f>Графики!$F$15:$R$15</c:f>
              <c:numCache>
                <c:formatCode>0.00%</c:formatCode>
                <c:ptCount val="13"/>
                <c:pt idx="0">
                  <c:v>7.5571389889549483</c:v>
                </c:pt>
                <c:pt idx="1">
                  <c:v>8.8074422876861433</c:v>
                </c:pt>
                <c:pt idx="2">
                  <c:v>8.9628446242039761</c:v>
                </c:pt>
                <c:pt idx="3">
                  <c:v>8.8590221393052015</c:v>
                </c:pt>
                <c:pt idx="4">
                  <c:v>8.8019321216148185</c:v>
                </c:pt>
                <c:pt idx="5">
                  <c:v>9.4839521711768402</c:v>
                </c:pt>
                <c:pt idx="6">
                  <c:v>8.9633080955154352</c:v>
                </c:pt>
                <c:pt idx="7">
                  <c:v>8.5844994617868675</c:v>
                </c:pt>
                <c:pt idx="8">
                  <c:v>8.1967213114754092</c:v>
                </c:pt>
                <c:pt idx="9">
                  <c:v>8.1893180568123807</c:v>
                </c:pt>
                <c:pt idx="10">
                  <c:v>9.075973464362999</c:v>
                </c:pt>
                <c:pt idx="11">
                  <c:v>8.9988492520138088</c:v>
                </c:pt>
                <c:pt idx="12">
                  <c:v>8.3889630618602578</c:v>
                </c:pt>
              </c:numCache>
            </c:numRef>
          </c:val>
          <c:smooth val="0"/>
        </c:ser>
        <c:ser>
          <c:idx val="1"/>
          <c:order val="2"/>
          <c:tx>
            <c:strRef>
              <c:f>Графики!$A$16</c:f>
              <c:strCache>
                <c:ptCount val="1"/>
                <c:pt idx="0">
                  <c:v>Просроченная задолженность, кредиты крупному бизнесу, %</c:v>
                </c:pt>
              </c:strCache>
            </c:strRef>
          </c:tx>
          <c:spPr>
            <a:ln w="12700">
              <a:solidFill>
                <a:schemeClr val="bg1">
                  <a:lumMod val="50000"/>
                </a:schemeClr>
              </a:solidFill>
              <a:prstDash val="solid"/>
            </a:ln>
          </c:spPr>
          <c:marker>
            <c:symbol val="square"/>
            <c:size val="5"/>
            <c:spPr>
              <a:solidFill>
                <a:schemeClr val="bg1">
                  <a:lumMod val="50000"/>
                </a:schemeClr>
              </a:solidFill>
              <a:ln>
                <a:solidFill>
                  <a:schemeClr val="bg1">
                    <a:lumMod val="50000"/>
                  </a:schemeClr>
                </a:solidFill>
                <a:prstDash val="solid"/>
              </a:ln>
            </c:spPr>
          </c:marker>
          <c:dLbls>
            <c:numFmt formatCode="0.00" sourceLinked="0"/>
            <c:spPr>
              <a:noFill/>
              <a:ln w="25400">
                <a:noFill/>
              </a:ln>
            </c:spPr>
            <c:txPr>
              <a:bodyPr/>
              <a:lstStyle/>
              <a:p>
                <a:pPr>
                  <a:defRPr sz="10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numRef>
              <c:f>Графики!$F$8:$R$8</c:f>
              <c:numCache>
                <c:formatCode>dd/mm/yy;@</c:formatCode>
                <c:ptCount val="13"/>
                <c:pt idx="0">
                  <c:v>40179</c:v>
                </c:pt>
                <c:pt idx="1">
                  <c:v>40269</c:v>
                </c:pt>
                <c:pt idx="2">
                  <c:v>40360</c:v>
                </c:pt>
                <c:pt idx="3" formatCode="m/d/yyyy">
                  <c:v>40452</c:v>
                </c:pt>
                <c:pt idx="4" formatCode="m/d/yyyy">
                  <c:v>40544</c:v>
                </c:pt>
                <c:pt idx="5" formatCode="m/d/yyyy">
                  <c:v>40634</c:v>
                </c:pt>
                <c:pt idx="6" formatCode="m/d/yyyy">
                  <c:v>40725</c:v>
                </c:pt>
                <c:pt idx="7" formatCode="m/d/yyyy">
                  <c:v>40817</c:v>
                </c:pt>
                <c:pt idx="8" formatCode="m/d/yyyy">
                  <c:v>40909</c:v>
                </c:pt>
                <c:pt idx="9" formatCode="m/d/yyyy">
                  <c:v>41000</c:v>
                </c:pt>
                <c:pt idx="10" formatCode="m/d/yyyy">
                  <c:v>41091</c:v>
                </c:pt>
                <c:pt idx="11" formatCode="m/d/yyyy">
                  <c:v>41183</c:v>
                </c:pt>
                <c:pt idx="12" formatCode="m/d/yyyy">
                  <c:v>41275</c:v>
                </c:pt>
              </c:numCache>
            </c:numRef>
          </c:cat>
          <c:val>
            <c:numRef>
              <c:f>Графики!$F$16:$R$16</c:f>
              <c:numCache>
                <c:formatCode>0.00%</c:formatCode>
                <c:ptCount val="13"/>
                <c:pt idx="0">
                  <c:v>5.6842987480855287</c:v>
                </c:pt>
                <c:pt idx="1">
                  <c:v>5.4247423010446045</c:v>
                </c:pt>
                <c:pt idx="2">
                  <c:v>5.4579252973306849</c:v>
                </c:pt>
                <c:pt idx="3">
                  <c:v>4.6438719230071177</c:v>
                </c:pt>
                <c:pt idx="4">
                  <c:v>4.2393782758291021</c:v>
                </c:pt>
                <c:pt idx="5">
                  <c:v>3.8585956070273273</c:v>
                </c:pt>
                <c:pt idx="6">
                  <c:v>4.1175715569246565</c:v>
                </c:pt>
                <c:pt idx="7">
                  <c:v>4.0041028172164079</c:v>
                </c:pt>
                <c:pt idx="8">
                  <c:v>3.6590904175947756</c:v>
                </c:pt>
                <c:pt idx="9">
                  <c:v>4.1553429708871539</c:v>
                </c:pt>
                <c:pt idx="10">
                  <c:v>3.7054084760718196</c:v>
                </c:pt>
                <c:pt idx="11">
                  <c:v>3.7039481064530393</c:v>
                </c:pt>
                <c:pt idx="12">
                  <c:v>3.534831431635804</c:v>
                </c:pt>
              </c:numCache>
            </c:numRef>
          </c:val>
          <c:smooth val="0"/>
        </c:ser>
        <c:dLbls>
          <c:showLegendKey val="0"/>
          <c:showVal val="0"/>
          <c:showCatName val="0"/>
          <c:showSerName val="0"/>
          <c:showPercent val="0"/>
          <c:showBubbleSize val="0"/>
        </c:dLbls>
        <c:marker val="1"/>
        <c:smooth val="0"/>
        <c:axId val="185263232"/>
        <c:axId val="185264768"/>
      </c:lineChart>
      <c:catAx>
        <c:axId val="185263232"/>
        <c:scaling>
          <c:orientation val="minMax"/>
        </c:scaling>
        <c:delete val="0"/>
        <c:axPos val="b"/>
        <c:numFmt formatCode="dd/mm/yy;@"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ru-RU"/>
          </a:p>
        </c:txPr>
        <c:crossAx val="185264768"/>
        <c:crosses val="autoZero"/>
        <c:auto val="0"/>
        <c:lblAlgn val="ctr"/>
        <c:lblOffset val="100"/>
        <c:tickLblSkip val="1"/>
        <c:tickMarkSkip val="1"/>
        <c:noMultiLvlLbl val="0"/>
      </c:catAx>
      <c:valAx>
        <c:axId val="185264768"/>
        <c:scaling>
          <c:orientation val="minMax"/>
        </c:scaling>
        <c:delete val="0"/>
        <c:axPos val="l"/>
        <c:majorGridlines>
          <c:spPr>
            <a:ln w="3175">
              <a:solidFill>
                <a:srgbClr val="000000"/>
              </a:solidFill>
              <a:prstDash val="solid"/>
            </a:ln>
          </c:spPr>
        </c:majorGridlines>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185263232"/>
        <c:crosses val="autoZero"/>
        <c:crossBetween val="between"/>
      </c:valAx>
      <c:spPr>
        <a:solidFill>
          <a:srgbClr val="FFFFFF"/>
        </a:solidFill>
        <a:ln w="12700">
          <a:solidFill>
            <a:srgbClr val="808080"/>
          </a:solidFill>
          <a:prstDash val="solid"/>
        </a:ln>
      </c:spPr>
    </c:plotArea>
    <c:legend>
      <c:legendPos val="b"/>
      <c:layout>
        <c:manualLayout>
          <c:xMode val="edge"/>
          <c:yMode val="edge"/>
          <c:x val="0.22913719943422914"/>
          <c:y val="0.83062654414247883"/>
          <c:w val="0.57991513437057984"/>
          <c:h val="0.15313224673100967"/>
        </c:manualLayout>
      </c:layout>
      <c:overlay val="0"/>
      <c:spPr>
        <a:solidFill>
          <a:srgbClr val="FFFFFF"/>
        </a:solidFill>
        <a:ln w="3175">
          <a:solidFill>
            <a:srgbClr val="000000"/>
          </a:solidFill>
          <a:prstDash val="solid"/>
        </a:ln>
      </c:spPr>
      <c:txPr>
        <a:bodyPr/>
        <a:lstStyle/>
        <a:p>
          <a:pPr>
            <a:defRPr sz="775" b="0"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79628526415426"/>
          <c:y val="7.6470698056494216E-2"/>
          <c:w val="0.87055153745628766"/>
          <c:h val="0.55882433195130388"/>
        </c:manualLayout>
      </c:layout>
      <c:lineChart>
        <c:grouping val="standard"/>
        <c:varyColors val="0"/>
        <c:ser>
          <c:idx val="0"/>
          <c:order val="0"/>
          <c:tx>
            <c:strRef>
              <c:f>'Таблица 2'!$B$67</c:f>
              <c:strCache>
                <c:ptCount val="1"/>
                <c:pt idx="0">
                  <c:v>Доля просроченной задолженности, банки вне топ-30, %</c:v>
                </c:pt>
              </c:strCache>
            </c:strRef>
          </c:tx>
          <c:spPr>
            <a:ln w="12700">
              <a:solidFill>
                <a:schemeClr val="tx1"/>
              </a:solidFill>
              <a:prstDash val="solid"/>
            </a:ln>
          </c:spPr>
          <c:marker>
            <c:symbol val="diamond"/>
            <c:size val="5"/>
            <c:spPr>
              <a:solidFill>
                <a:schemeClr val="tx1"/>
              </a:solidFill>
              <a:ln>
                <a:solidFill>
                  <a:schemeClr val="tx1"/>
                </a:solidFill>
                <a:prstDash val="solid"/>
              </a:ln>
            </c:spPr>
          </c:marker>
          <c:dLbls>
            <c:numFmt formatCode="0.0%" sourceLinked="0"/>
            <c:dLblPos val="t"/>
            <c:showLegendKey val="0"/>
            <c:showVal val="1"/>
            <c:showCatName val="0"/>
            <c:showSerName val="0"/>
            <c:showPercent val="0"/>
            <c:showBubbleSize val="0"/>
            <c:showLeaderLines val="0"/>
          </c:dLbls>
          <c:cat>
            <c:numRef>
              <c:f>'Таблица 2'!$A$68:$A$83</c:f>
              <c:numCache>
                <c:formatCode>m/d/yyyy</c:formatCode>
                <c:ptCount val="16"/>
                <c:pt idx="0">
                  <c:v>39904</c:v>
                </c:pt>
                <c:pt idx="1">
                  <c:v>39995</c:v>
                </c:pt>
                <c:pt idx="2">
                  <c:v>40087</c:v>
                </c:pt>
                <c:pt idx="3">
                  <c:v>40179</c:v>
                </c:pt>
                <c:pt idx="4">
                  <c:v>40269</c:v>
                </c:pt>
                <c:pt idx="5">
                  <c:v>40360</c:v>
                </c:pt>
                <c:pt idx="6">
                  <c:v>40452</c:v>
                </c:pt>
                <c:pt idx="7">
                  <c:v>40544</c:v>
                </c:pt>
                <c:pt idx="8">
                  <c:v>40634</c:v>
                </c:pt>
                <c:pt idx="9">
                  <c:v>40725</c:v>
                </c:pt>
                <c:pt idx="10">
                  <c:v>40817</c:v>
                </c:pt>
                <c:pt idx="11">
                  <c:v>40909</c:v>
                </c:pt>
                <c:pt idx="12">
                  <c:v>41000</c:v>
                </c:pt>
                <c:pt idx="13">
                  <c:v>41091</c:v>
                </c:pt>
                <c:pt idx="14">
                  <c:v>41183</c:v>
                </c:pt>
                <c:pt idx="15">
                  <c:v>41275</c:v>
                </c:pt>
              </c:numCache>
            </c:numRef>
          </c:cat>
          <c:val>
            <c:numRef>
              <c:f>'Таблица 2'!$B$68:$B$83</c:f>
              <c:numCache>
                <c:formatCode>General</c:formatCode>
                <c:ptCount val="16"/>
                <c:pt idx="0">
                  <c:v>3.0585838531577935E-2</c:v>
                </c:pt>
                <c:pt idx="1">
                  <c:v>4.0176080752051854E-2</c:v>
                </c:pt>
                <c:pt idx="2">
                  <c:v>4.8385190614404966E-2</c:v>
                </c:pt>
                <c:pt idx="3">
                  <c:v>5.1677135900059984E-2</c:v>
                </c:pt>
                <c:pt idx="4">
                  <c:v>6.0242635116780435E-2</c:v>
                </c:pt>
                <c:pt idx="5">
                  <c:v>5.7340851654213661E-2</c:v>
                </c:pt>
                <c:pt idx="6">
                  <c:v>5.7025437297190854E-2</c:v>
                </c:pt>
                <c:pt idx="7">
                  <c:v>5.3181833642741677E-2</c:v>
                </c:pt>
                <c:pt idx="8">
                  <c:v>5.2644390497430936E-2</c:v>
                </c:pt>
                <c:pt idx="9">
                  <c:v>4.6285057560940486E-2</c:v>
                </c:pt>
                <c:pt idx="10">
                  <c:v>4.5581167410518944E-2</c:v>
                </c:pt>
                <c:pt idx="11">
                  <c:v>4.1613068238611384E-2</c:v>
                </c:pt>
                <c:pt idx="12">
                  <c:v>4.3233135905893484E-2</c:v>
                </c:pt>
                <c:pt idx="13">
                  <c:v>4.1767605394348546E-2</c:v>
                </c:pt>
                <c:pt idx="14">
                  <c:v>4.1927740184737418E-2</c:v>
                </c:pt>
                <c:pt idx="15">
                  <c:v>3.995389586202322E-2</c:v>
                </c:pt>
              </c:numCache>
            </c:numRef>
          </c:val>
          <c:smooth val="0"/>
        </c:ser>
        <c:ser>
          <c:idx val="1"/>
          <c:order val="1"/>
          <c:tx>
            <c:strRef>
              <c:f>'Таблица 2'!$C$67</c:f>
              <c:strCache>
                <c:ptCount val="1"/>
                <c:pt idx="0">
                  <c:v>Доля просроченной задолженности, банки ТОП-30, %</c:v>
                </c:pt>
              </c:strCache>
            </c:strRef>
          </c:tx>
          <c:spPr>
            <a:ln w="12700">
              <a:solidFill>
                <a:srgbClr val="FF0000"/>
              </a:solidFill>
              <a:prstDash val="solid"/>
            </a:ln>
          </c:spPr>
          <c:marker>
            <c:symbol val="square"/>
            <c:size val="5"/>
            <c:spPr>
              <a:solidFill>
                <a:srgbClr val="FF0000"/>
              </a:solidFill>
              <a:ln>
                <a:solidFill>
                  <a:srgbClr val="FF0000"/>
                </a:solidFill>
                <a:prstDash val="solid"/>
              </a:ln>
            </c:spPr>
          </c:marker>
          <c:dLbls>
            <c:numFmt formatCode="0.0%" sourceLinked="0"/>
            <c:dLblPos val="t"/>
            <c:showLegendKey val="0"/>
            <c:showVal val="1"/>
            <c:showCatName val="0"/>
            <c:showSerName val="0"/>
            <c:showPercent val="0"/>
            <c:showBubbleSize val="0"/>
            <c:showLeaderLines val="0"/>
          </c:dLbls>
          <c:cat>
            <c:numRef>
              <c:f>'Таблица 2'!$A$68:$A$83</c:f>
              <c:numCache>
                <c:formatCode>m/d/yyyy</c:formatCode>
                <c:ptCount val="16"/>
                <c:pt idx="0">
                  <c:v>39904</c:v>
                </c:pt>
                <c:pt idx="1">
                  <c:v>39995</c:v>
                </c:pt>
                <c:pt idx="2">
                  <c:v>40087</c:v>
                </c:pt>
                <c:pt idx="3">
                  <c:v>40179</c:v>
                </c:pt>
                <c:pt idx="4">
                  <c:v>40269</c:v>
                </c:pt>
                <c:pt idx="5">
                  <c:v>40360</c:v>
                </c:pt>
                <c:pt idx="6">
                  <c:v>40452</c:v>
                </c:pt>
                <c:pt idx="7">
                  <c:v>40544</c:v>
                </c:pt>
                <c:pt idx="8">
                  <c:v>40634</c:v>
                </c:pt>
                <c:pt idx="9">
                  <c:v>40725</c:v>
                </c:pt>
                <c:pt idx="10">
                  <c:v>40817</c:v>
                </c:pt>
                <c:pt idx="11">
                  <c:v>40909</c:v>
                </c:pt>
                <c:pt idx="12">
                  <c:v>41000</c:v>
                </c:pt>
                <c:pt idx="13">
                  <c:v>41091</c:v>
                </c:pt>
                <c:pt idx="14">
                  <c:v>41183</c:v>
                </c:pt>
                <c:pt idx="15">
                  <c:v>41275</c:v>
                </c:pt>
              </c:numCache>
            </c:numRef>
          </c:cat>
          <c:val>
            <c:numRef>
              <c:f>'Таблица 2'!$C$68:$C$83</c:f>
              <c:numCache>
                <c:formatCode>General</c:formatCode>
                <c:ptCount val="16"/>
                <c:pt idx="0">
                  <c:v>4.888248809404392E-2</c:v>
                </c:pt>
                <c:pt idx="1">
                  <c:v>5.8955536469590959E-2</c:v>
                </c:pt>
                <c:pt idx="2">
                  <c:v>7.8038341954398613E-2</c:v>
                </c:pt>
                <c:pt idx="3">
                  <c:v>8.8015143674810725E-2</c:v>
                </c:pt>
                <c:pt idx="4">
                  <c:v>0.10388146406782425</c:v>
                </c:pt>
                <c:pt idx="5">
                  <c:v>0.10830754644245096</c:v>
                </c:pt>
                <c:pt idx="6">
                  <c:v>0.10690936785683787</c:v>
                </c:pt>
                <c:pt idx="7">
                  <c:v>0.10644223989567775</c:v>
                </c:pt>
                <c:pt idx="8">
                  <c:v>0.12074653969998016</c:v>
                </c:pt>
                <c:pt idx="9">
                  <c:v>0.11693166846470709</c:v>
                </c:pt>
                <c:pt idx="10">
                  <c:v>0.11102225531736376</c:v>
                </c:pt>
                <c:pt idx="11">
                  <c:v>0.10855181091195247</c:v>
                </c:pt>
                <c:pt idx="12">
                  <c:v>0.12237274243445145</c:v>
                </c:pt>
                <c:pt idx="13">
                  <c:v>0.12297448142723902</c:v>
                </c:pt>
                <c:pt idx="14">
                  <c:v>0.12155945799921247</c:v>
                </c:pt>
                <c:pt idx="15">
                  <c:v>0.11237003773360971</c:v>
                </c:pt>
              </c:numCache>
            </c:numRef>
          </c:val>
          <c:smooth val="0"/>
        </c:ser>
        <c:dLbls>
          <c:showLegendKey val="0"/>
          <c:showVal val="0"/>
          <c:showCatName val="0"/>
          <c:showSerName val="0"/>
          <c:showPercent val="0"/>
          <c:showBubbleSize val="0"/>
        </c:dLbls>
        <c:marker val="1"/>
        <c:smooth val="0"/>
        <c:axId val="187019264"/>
        <c:axId val="187020800"/>
      </c:lineChart>
      <c:dateAx>
        <c:axId val="187019264"/>
        <c:scaling>
          <c:orientation val="minMax"/>
        </c:scaling>
        <c:delete val="0"/>
        <c:axPos val="b"/>
        <c:numFmt formatCode="dd/mm/yy;@" sourceLinked="0"/>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Cyr"/>
                <a:ea typeface="Arial Cyr"/>
                <a:cs typeface="Arial Cyr"/>
              </a:defRPr>
            </a:pPr>
            <a:endParaRPr lang="ru-RU"/>
          </a:p>
        </c:txPr>
        <c:crossAx val="187020800"/>
        <c:crosses val="autoZero"/>
        <c:auto val="1"/>
        <c:lblOffset val="100"/>
        <c:baseTimeUnit val="months"/>
        <c:majorUnit val="3"/>
        <c:majorTimeUnit val="months"/>
        <c:minorUnit val="1"/>
        <c:minorTimeUnit val="months"/>
      </c:dateAx>
      <c:valAx>
        <c:axId val="187020800"/>
        <c:scaling>
          <c:orientation val="minMax"/>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87019264"/>
        <c:crosses val="autoZero"/>
        <c:crossBetween val="between"/>
      </c:valAx>
      <c:spPr>
        <a:solidFill>
          <a:srgbClr val="FFFFFF"/>
        </a:solidFill>
        <a:ln w="12700">
          <a:solidFill>
            <a:srgbClr val="808080"/>
          </a:solidFill>
          <a:prstDash val="solid"/>
        </a:ln>
      </c:spPr>
    </c:plotArea>
    <c:legend>
      <c:legendPos val="b"/>
      <c:layout>
        <c:manualLayout>
          <c:xMode val="edge"/>
          <c:yMode val="edge"/>
          <c:x val="0.23462822076817863"/>
          <c:y val="0.84705994183159539"/>
          <c:w val="0.61326960186314738"/>
          <c:h val="0.13235326665247926"/>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hPercent val="57"/>
      <c:rotY val="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9.9726909002130562E-2"/>
          <c:y val="4.1262184824153357E-2"/>
          <c:w val="0.8948099369369249"/>
          <c:h val="0.59223371159373051"/>
        </c:manualLayout>
      </c:layout>
      <c:bar3DChart>
        <c:barDir val="col"/>
        <c:grouping val="percentStacked"/>
        <c:varyColors val="0"/>
        <c:ser>
          <c:idx val="0"/>
          <c:order val="0"/>
          <c:tx>
            <c:strRef>
              <c:f>'Структура сделок по V клиентов'!$A$3</c:f>
              <c:strCache>
                <c:ptCount val="1"/>
                <c:pt idx="0">
                  <c:v>клиенты - малый бизнес</c:v>
                </c:pt>
              </c:strCache>
            </c:strRef>
          </c:tx>
          <c:spPr>
            <a:solidFill>
              <a:schemeClr val="tx1"/>
            </a:solidFill>
            <a:ln w="12700">
              <a:solidFill>
                <a:srgbClr val="000000"/>
              </a:solidFill>
              <a:prstDash val="solid"/>
            </a:ln>
          </c:spPr>
          <c:invertIfNegative val="0"/>
          <c:cat>
            <c:multiLvlStrRef>
              <c:f>'Структура сделок по V клиентов'!$B$1:$G$2</c:f>
              <c:multiLvlStrCache>
                <c:ptCount val="6"/>
                <c:lvl>
                  <c:pt idx="0">
                    <c:v>2007 год</c:v>
                  </c:pt>
                  <c:pt idx="1">
                    <c:v> 2008 год</c:v>
                  </c:pt>
                  <c:pt idx="2">
                    <c:v>2009 год</c:v>
                  </c:pt>
                  <c:pt idx="3">
                    <c:v>2010 год</c:v>
                  </c:pt>
                  <c:pt idx="4">
                    <c:v>2011 год</c:v>
                  </c:pt>
                  <c:pt idx="5">
                    <c:v>2012 год</c:v>
                  </c:pt>
                </c:lvl>
                <c:lvl>
                  <c:pt idx="0">
                    <c:v>Доля в зависимости от объема уступленных требований</c:v>
                  </c:pt>
                </c:lvl>
              </c:multiLvlStrCache>
            </c:multiLvlStrRef>
          </c:cat>
          <c:val>
            <c:numRef>
              <c:f>'Структура сделок по V клиентов'!$B$3:$G$3</c:f>
              <c:numCache>
                <c:formatCode>0.0%</c:formatCode>
                <c:ptCount val="6"/>
                <c:pt idx="0">
                  <c:v>0.14399999999999999</c:v>
                </c:pt>
                <c:pt idx="1">
                  <c:v>0.112</c:v>
                </c:pt>
                <c:pt idx="2">
                  <c:v>0.10731277341197049</c:v>
                </c:pt>
                <c:pt idx="3">
                  <c:v>0.1417063580506574</c:v>
                </c:pt>
                <c:pt idx="4">
                  <c:v>0.1810624008390303</c:v>
                </c:pt>
                <c:pt idx="5">
                  <c:v>0.16448843745363351</c:v>
                </c:pt>
              </c:numCache>
            </c:numRef>
          </c:val>
        </c:ser>
        <c:ser>
          <c:idx val="1"/>
          <c:order val="1"/>
          <c:tx>
            <c:strRef>
              <c:f>'Структура сделок по V клиентов'!$A$4</c:f>
              <c:strCache>
                <c:ptCount val="1"/>
                <c:pt idx="0">
                  <c:v>клиенты - средний бизнес</c:v>
                </c:pt>
              </c:strCache>
            </c:strRef>
          </c:tx>
          <c:spPr>
            <a:solidFill>
              <a:srgbClr val="FF0000"/>
            </a:solidFill>
            <a:ln w="12700">
              <a:solidFill>
                <a:srgbClr val="000000"/>
              </a:solidFill>
              <a:prstDash val="solid"/>
            </a:ln>
          </c:spPr>
          <c:invertIfNegative val="0"/>
          <c:cat>
            <c:multiLvlStrRef>
              <c:f>'Структура сделок по V клиентов'!$B$1:$G$2</c:f>
              <c:multiLvlStrCache>
                <c:ptCount val="6"/>
                <c:lvl>
                  <c:pt idx="0">
                    <c:v>2007 год</c:v>
                  </c:pt>
                  <c:pt idx="1">
                    <c:v> 2008 год</c:v>
                  </c:pt>
                  <c:pt idx="2">
                    <c:v>2009 год</c:v>
                  </c:pt>
                  <c:pt idx="3">
                    <c:v>2010 год</c:v>
                  </c:pt>
                  <c:pt idx="4">
                    <c:v>2011 год</c:v>
                  </c:pt>
                  <c:pt idx="5">
                    <c:v>2012 год</c:v>
                  </c:pt>
                </c:lvl>
                <c:lvl>
                  <c:pt idx="0">
                    <c:v>Доля в зависимости от объема уступленных требований</c:v>
                  </c:pt>
                </c:lvl>
              </c:multiLvlStrCache>
            </c:multiLvlStrRef>
          </c:cat>
          <c:val>
            <c:numRef>
              <c:f>'Структура сделок по V клиентов'!$B$4:$G$4</c:f>
              <c:numCache>
                <c:formatCode>0.0%</c:formatCode>
                <c:ptCount val="6"/>
                <c:pt idx="0">
                  <c:v>0.36399999999999999</c:v>
                </c:pt>
                <c:pt idx="1">
                  <c:v>0.33300000000000002</c:v>
                </c:pt>
                <c:pt idx="2">
                  <c:v>0.32701636080670826</c:v>
                </c:pt>
                <c:pt idx="3">
                  <c:v>0.26959330656064623</c:v>
                </c:pt>
                <c:pt idx="4">
                  <c:v>0.26488628024614197</c:v>
                </c:pt>
                <c:pt idx="5">
                  <c:v>0.24302737389498719</c:v>
                </c:pt>
              </c:numCache>
            </c:numRef>
          </c:val>
        </c:ser>
        <c:ser>
          <c:idx val="2"/>
          <c:order val="2"/>
          <c:tx>
            <c:strRef>
              <c:f>'Структура сделок по V клиентов'!$A$5</c:f>
              <c:strCache>
                <c:ptCount val="1"/>
                <c:pt idx="0">
                  <c:v>клиенты - крупный бизнес</c:v>
                </c:pt>
              </c:strCache>
            </c:strRef>
          </c:tx>
          <c:spPr>
            <a:solidFill>
              <a:schemeClr val="bg1">
                <a:lumMod val="65000"/>
              </a:schemeClr>
            </a:solidFill>
            <a:ln w="12700">
              <a:solidFill>
                <a:srgbClr val="000000"/>
              </a:solidFill>
              <a:prstDash val="solid"/>
            </a:ln>
          </c:spPr>
          <c:invertIfNegative val="0"/>
          <c:cat>
            <c:multiLvlStrRef>
              <c:f>'Структура сделок по V клиентов'!$B$1:$G$2</c:f>
              <c:multiLvlStrCache>
                <c:ptCount val="6"/>
                <c:lvl>
                  <c:pt idx="0">
                    <c:v>2007 год</c:v>
                  </c:pt>
                  <c:pt idx="1">
                    <c:v> 2008 год</c:v>
                  </c:pt>
                  <c:pt idx="2">
                    <c:v>2009 год</c:v>
                  </c:pt>
                  <c:pt idx="3">
                    <c:v>2010 год</c:v>
                  </c:pt>
                  <c:pt idx="4">
                    <c:v>2011 год</c:v>
                  </c:pt>
                  <c:pt idx="5">
                    <c:v>2012 год</c:v>
                  </c:pt>
                </c:lvl>
                <c:lvl>
                  <c:pt idx="0">
                    <c:v>Доля в зависимости от объема уступленных требований</c:v>
                  </c:pt>
                </c:lvl>
              </c:multiLvlStrCache>
            </c:multiLvlStrRef>
          </c:cat>
          <c:val>
            <c:numRef>
              <c:f>'Структура сделок по V клиентов'!$B$5:$G$5</c:f>
              <c:numCache>
                <c:formatCode>0.0%</c:formatCode>
                <c:ptCount val="6"/>
                <c:pt idx="0">
                  <c:v>0.49199999999999999</c:v>
                </c:pt>
                <c:pt idx="1">
                  <c:v>0.55400000000000005</c:v>
                </c:pt>
                <c:pt idx="2">
                  <c:v>0.56567086578132131</c:v>
                </c:pt>
                <c:pt idx="3">
                  <c:v>0.58870033538869637</c:v>
                </c:pt>
                <c:pt idx="4">
                  <c:v>0.55405268179341827</c:v>
                </c:pt>
                <c:pt idx="5">
                  <c:v>0.59248418865137908</c:v>
                </c:pt>
              </c:numCache>
            </c:numRef>
          </c:val>
        </c:ser>
        <c:dLbls>
          <c:showLegendKey val="0"/>
          <c:showVal val="0"/>
          <c:showCatName val="0"/>
          <c:showSerName val="0"/>
          <c:showPercent val="0"/>
          <c:showBubbleSize val="0"/>
        </c:dLbls>
        <c:gapWidth val="150"/>
        <c:shape val="box"/>
        <c:axId val="207707136"/>
        <c:axId val="207708928"/>
        <c:axId val="0"/>
      </c:bar3DChart>
      <c:catAx>
        <c:axId val="2077071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207708928"/>
        <c:crosses val="autoZero"/>
        <c:auto val="1"/>
        <c:lblAlgn val="ctr"/>
        <c:lblOffset val="100"/>
        <c:tickLblSkip val="1"/>
        <c:tickMarkSkip val="1"/>
        <c:noMultiLvlLbl val="0"/>
      </c:catAx>
      <c:valAx>
        <c:axId val="207708928"/>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07707136"/>
        <c:crosses val="autoZero"/>
        <c:crossBetween val="between"/>
      </c:valAx>
      <c:spPr>
        <a:noFill/>
        <a:ln w="25400">
          <a:noFill/>
        </a:ln>
      </c:spPr>
    </c:plotArea>
    <c:legend>
      <c:legendPos val="b"/>
      <c:layout>
        <c:manualLayout>
          <c:xMode val="edge"/>
          <c:yMode val="edge"/>
          <c:x val="0.18306031469684378"/>
          <c:y val="0.8592243202609382"/>
          <c:w val="0.62841609622917738"/>
          <c:h val="0.1262138470555258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'Структура сделок по V клиентов'!$A$6</c:f>
              <c:strCache>
                <c:ptCount val="1"/>
                <c:pt idx="0">
                  <c:v>Доля МСБ по объему уступленных требований</c:v>
                </c:pt>
              </c:strCache>
            </c:strRef>
          </c:tx>
          <c:spPr>
            <a:ln>
              <a:solidFill>
                <a:srgbClr val="FF0000"/>
              </a:solidFill>
            </a:ln>
          </c:spPr>
          <c:marker>
            <c:symbol val="none"/>
          </c:marker>
          <c:dLbls>
            <c:numFmt formatCode="0%" sourceLinked="0"/>
            <c:dLblPos val="t"/>
            <c:showLegendKey val="0"/>
            <c:showVal val="1"/>
            <c:showCatName val="0"/>
            <c:showSerName val="0"/>
            <c:showPercent val="0"/>
            <c:showBubbleSize val="0"/>
            <c:showLeaderLines val="0"/>
          </c:dLbls>
          <c:cat>
            <c:strRef>
              <c:f>'Структура сделок по V клиентов'!$B$2:$G$2</c:f>
              <c:strCache>
                <c:ptCount val="6"/>
                <c:pt idx="0">
                  <c:v>2007 год</c:v>
                </c:pt>
                <c:pt idx="1">
                  <c:v> 2008 год</c:v>
                </c:pt>
                <c:pt idx="2">
                  <c:v>2009 год</c:v>
                </c:pt>
                <c:pt idx="3">
                  <c:v>2010 год</c:v>
                </c:pt>
                <c:pt idx="4">
                  <c:v>2011 год</c:v>
                </c:pt>
                <c:pt idx="5">
                  <c:v>2012 год</c:v>
                </c:pt>
              </c:strCache>
            </c:strRef>
          </c:cat>
          <c:val>
            <c:numRef>
              <c:f>'Структура сделок по V клиентов'!$B$6:$G$6</c:f>
              <c:numCache>
                <c:formatCode>0.00%</c:formatCode>
                <c:ptCount val="6"/>
                <c:pt idx="0">
                  <c:v>0.50800000000000001</c:v>
                </c:pt>
                <c:pt idx="1">
                  <c:v>0.44500000000000001</c:v>
                </c:pt>
                <c:pt idx="2">
                  <c:v>0.43432913421867875</c:v>
                </c:pt>
                <c:pt idx="3">
                  <c:v>0.41129966461130363</c:v>
                </c:pt>
                <c:pt idx="4">
                  <c:v>0.44594868108517227</c:v>
                </c:pt>
                <c:pt idx="5">
                  <c:v>0.40751581134862069</c:v>
                </c:pt>
              </c:numCache>
            </c:numRef>
          </c:val>
          <c:smooth val="0"/>
        </c:ser>
        <c:dLbls>
          <c:dLblPos val="t"/>
          <c:showLegendKey val="0"/>
          <c:showVal val="1"/>
          <c:showCatName val="0"/>
          <c:showSerName val="0"/>
          <c:showPercent val="0"/>
          <c:showBubbleSize val="0"/>
        </c:dLbls>
        <c:marker val="1"/>
        <c:smooth val="0"/>
        <c:axId val="207728000"/>
        <c:axId val="207735040"/>
      </c:lineChart>
      <c:catAx>
        <c:axId val="207728000"/>
        <c:scaling>
          <c:orientation val="minMax"/>
        </c:scaling>
        <c:delete val="0"/>
        <c:axPos val="b"/>
        <c:majorTickMark val="out"/>
        <c:minorTickMark val="none"/>
        <c:tickLblPos val="nextTo"/>
        <c:crossAx val="207735040"/>
        <c:crosses val="autoZero"/>
        <c:auto val="1"/>
        <c:lblAlgn val="ctr"/>
        <c:lblOffset val="100"/>
        <c:noMultiLvlLbl val="0"/>
      </c:catAx>
      <c:valAx>
        <c:axId val="207735040"/>
        <c:scaling>
          <c:orientation val="minMax"/>
          <c:min val="0.30000000000000004"/>
        </c:scaling>
        <c:delete val="0"/>
        <c:axPos val="l"/>
        <c:majorGridlines/>
        <c:numFmt formatCode="0%" sourceLinked="0"/>
        <c:majorTickMark val="out"/>
        <c:minorTickMark val="none"/>
        <c:tickLblPos val="nextTo"/>
        <c:crossAx val="207728000"/>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Достаточность капитала Н1</c:v>
                </c:pt>
              </c:strCache>
            </c:strRef>
          </c:tx>
          <c:marker>
            <c:symbol val="none"/>
          </c:marker>
          <c:dLbls>
            <c:dLbl>
              <c:idx val="0"/>
              <c:layout>
                <c:manualLayout>
                  <c:x val="-4.1465441819772526E-2"/>
                  <c:y val="-5.6030183727034118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Лист1!$B$1:$J$1</c:f>
              <c:numCache>
                <c:formatCode>m/d/yyyy</c:formatCode>
                <c:ptCount val="9"/>
                <c:pt idx="0">
                  <c:v>40544</c:v>
                </c:pt>
                <c:pt idx="1">
                  <c:v>40634</c:v>
                </c:pt>
                <c:pt idx="2">
                  <c:v>40725</c:v>
                </c:pt>
                <c:pt idx="3">
                  <c:v>40817</c:v>
                </c:pt>
                <c:pt idx="4">
                  <c:v>40909</c:v>
                </c:pt>
                <c:pt idx="5">
                  <c:v>41000</c:v>
                </c:pt>
                <c:pt idx="6">
                  <c:v>41091</c:v>
                </c:pt>
                <c:pt idx="7">
                  <c:v>41183</c:v>
                </c:pt>
                <c:pt idx="8">
                  <c:v>41275</c:v>
                </c:pt>
              </c:numCache>
            </c:numRef>
          </c:cat>
          <c:val>
            <c:numRef>
              <c:f>Лист1!$B$2:$J$2</c:f>
              <c:numCache>
                <c:formatCode>0.0%</c:formatCode>
                <c:ptCount val="9"/>
                <c:pt idx="0">
                  <c:v>0.18099999999999999</c:v>
                </c:pt>
                <c:pt idx="1">
                  <c:v>0.17199999999999999</c:v>
                </c:pt>
                <c:pt idx="2">
                  <c:v>0.16700000000000001</c:v>
                </c:pt>
                <c:pt idx="3">
                  <c:v>0.152</c:v>
                </c:pt>
                <c:pt idx="4">
                  <c:v>0.14699999999999999</c:v>
                </c:pt>
                <c:pt idx="5">
                  <c:v>0.14599999999999999</c:v>
                </c:pt>
                <c:pt idx="6">
                  <c:v>0.13800000000000001</c:v>
                </c:pt>
                <c:pt idx="7">
                  <c:v>0.13100000000000001</c:v>
                </c:pt>
                <c:pt idx="8">
                  <c:v>0.13700000000000001</c:v>
                </c:pt>
              </c:numCache>
            </c:numRef>
          </c:val>
          <c:smooth val="0"/>
        </c:ser>
        <c:dLbls>
          <c:dLblPos val="t"/>
          <c:showLegendKey val="0"/>
          <c:showVal val="1"/>
          <c:showCatName val="0"/>
          <c:showSerName val="0"/>
          <c:showPercent val="0"/>
          <c:showBubbleSize val="0"/>
        </c:dLbls>
        <c:marker val="1"/>
        <c:smooth val="0"/>
        <c:axId val="207746944"/>
        <c:axId val="207758080"/>
      </c:lineChart>
      <c:dateAx>
        <c:axId val="207746944"/>
        <c:scaling>
          <c:orientation val="minMax"/>
        </c:scaling>
        <c:delete val="0"/>
        <c:axPos val="b"/>
        <c:numFmt formatCode="m/d/yyyy" sourceLinked="1"/>
        <c:majorTickMark val="out"/>
        <c:minorTickMark val="none"/>
        <c:tickLblPos val="nextTo"/>
        <c:crossAx val="207758080"/>
        <c:crosses val="autoZero"/>
        <c:auto val="1"/>
        <c:lblOffset val="100"/>
        <c:baseTimeUnit val="months"/>
      </c:dateAx>
      <c:valAx>
        <c:axId val="207758080"/>
        <c:scaling>
          <c:orientation val="minMax"/>
          <c:min val="0.1"/>
        </c:scaling>
        <c:delete val="0"/>
        <c:axPos val="l"/>
        <c:majorGridlines/>
        <c:numFmt formatCode="0%" sourceLinked="0"/>
        <c:majorTickMark val="out"/>
        <c:minorTickMark val="none"/>
        <c:tickLblPos val="nextTo"/>
        <c:crossAx val="207746944"/>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92545688947127"/>
          <c:y val="4.3165568714330207E-2"/>
          <c:w val="0.7447766621798203"/>
          <c:h val="0.62829883350858418"/>
        </c:manualLayout>
      </c:layout>
      <c:barChart>
        <c:barDir val="col"/>
        <c:grouping val="clustered"/>
        <c:varyColors val="0"/>
        <c:ser>
          <c:idx val="1"/>
          <c:order val="0"/>
          <c:tx>
            <c:strRef>
              <c:f>Лист3!$B$11</c:f>
              <c:strCache>
                <c:ptCount val="1"/>
                <c:pt idx="0">
                  <c:v>Задолженность по кредитам МСБ, млрд. руб.</c:v>
                </c:pt>
              </c:strCache>
            </c:strRef>
          </c:tx>
          <c:spPr>
            <a:solidFill>
              <a:srgbClr val="FF0000"/>
            </a:solidFill>
            <a:ln w="12700">
              <a:solidFill>
                <a:srgbClr val="000000"/>
              </a:solidFill>
              <a:prstDash val="solid"/>
            </a:ln>
          </c:spPr>
          <c:invertIfNegative val="0"/>
          <c:cat>
            <c:strRef>
              <c:f>Лист3!$A$12:$A$21</c:f>
              <c:strCache>
                <c:ptCount val="10"/>
                <c:pt idx="0">
                  <c:v>01.01.2006*</c:v>
                </c:pt>
                <c:pt idx="1">
                  <c:v>01.01.2007*</c:v>
                </c:pt>
                <c:pt idx="2">
                  <c:v>01.01.2008*</c:v>
                </c:pt>
                <c:pt idx="3">
                  <c:v>01.01.2009</c:v>
                </c:pt>
                <c:pt idx="4">
                  <c:v>01.01.2010</c:v>
                </c:pt>
                <c:pt idx="5">
                  <c:v>01.01.2011</c:v>
                </c:pt>
                <c:pt idx="6">
                  <c:v>01.01.2012</c:v>
                </c:pt>
                <c:pt idx="7">
                  <c:v>01.01.2013</c:v>
                </c:pt>
                <c:pt idx="8">
                  <c:v>01.01.2014**</c:v>
                </c:pt>
                <c:pt idx="9">
                  <c:v>01.01.2015**</c:v>
                </c:pt>
              </c:strCache>
            </c:strRef>
          </c:cat>
          <c:val>
            <c:numRef>
              <c:f>Лист3!$B$12:$B$21</c:f>
              <c:numCache>
                <c:formatCode>General</c:formatCode>
                <c:ptCount val="10"/>
                <c:pt idx="0">
                  <c:v>503.21565197521085</c:v>
                </c:pt>
                <c:pt idx="1">
                  <c:v>956.10973875290063</c:v>
                </c:pt>
                <c:pt idx="2">
                  <c:v>1749.6808219178081</c:v>
                </c:pt>
                <c:pt idx="3">
                  <c:v>2554.5340000000001</c:v>
                </c:pt>
                <c:pt idx="4">
                  <c:v>2647.973</c:v>
                </c:pt>
                <c:pt idx="5">
                  <c:v>3226.712</c:v>
                </c:pt>
                <c:pt idx="6" formatCode="#,##0">
                  <c:v>3843</c:v>
                </c:pt>
                <c:pt idx="7">
                  <c:v>4493.76</c:v>
                </c:pt>
                <c:pt idx="8">
                  <c:v>5212.7615999999998</c:v>
                </c:pt>
                <c:pt idx="9">
                  <c:v>6151.0586879999992</c:v>
                </c:pt>
              </c:numCache>
            </c:numRef>
          </c:val>
        </c:ser>
        <c:dLbls>
          <c:showLegendKey val="0"/>
          <c:showVal val="0"/>
          <c:showCatName val="0"/>
          <c:showSerName val="0"/>
          <c:showPercent val="0"/>
          <c:showBubbleSize val="0"/>
        </c:dLbls>
        <c:gapWidth val="150"/>
        <c:axId val="211298944"/>
        <c:axId val="211308928"/>
      </c:barChart>
      <c:lineChart>
        <c:grouping val="standard"/>
        <c:varyColors val="0"/>
        <c:ser>
          <c:idx val="0"/>
          <c:order val="1"/>
          <c:tx>
            <c:strRef>
              <c:f>Лист3!$C$11</c:f>
              <c:strCache>
                <c:ptCount val="1"/>
                <c:pt idx="0">
                  <c:v>Темп прироста, %</c:v>
                </c:pt>
              </c:strCache>
            </c:strRef>
          </c:tx>
          <c:spPr>
            <a:ln w="12700">
              <a:solidFill>
                <a:srgbClr val="000000"/>
              </a:solidFill>
              <a:prstDash val="solid"/>
            </a:ln>
          </c:spPr>
          <c:marker>
            <c:symbol val="diamond"/>
            <c:size val="5"/>
            <c:spPr>
              <a:solidFill>
                <a:srgbClr val="000080"/>
              </a:solidFill>
              <a:ln>
                <a:solidFill>
                  <a:srgbClr val="000080"/>
                </a:solidFill>
                <a:prstDash val="solid"/>
              </a:ln>
            </c:spPr>
          </c:marker>
          <c:dLbls>
            <c:dLbl>
              <c:idx val="6"/>
              <c:layout>
                <c:manualLayout>
                  <c:x val="-1.0033135044849626E-2"/>
                  <c:y val="-2.4682317931623361E-2"/>
                </c:manualLayout>
              </c:layout>
              <c:dLblPos val="r"/>
              <c:showLegendKey val="0"/>
              <c:showVal val="1"/>
              <c:showCatName val="0"/>
              <c:showSerName val="0"/>
              <c:showPercent val="0"/>
              <c:showBubbleSize val="0"/>
            </c:dLbl>
            <c:dLbl>
              <c:idx val="7"/>
              <c:layout>
                <c:manualLayout>
                  <c:x val="-1.8159221607192494E-2"/>
                  <c:y val="-3.4324544498799979E-2"/>
                </c:manualLayout>
              </c:layout>
              <c:dLblPos val="r"/>
              <c:showLegendKey val="0"/>
              <c:showVal val="1"/>
              <c:showCatName val="0"/>
              <c:showSerName val="0"/>
              <c:showPercent val="0"/>
              <c:showBubbleSize val="0"/>
            </c:dLbl>
            <c:dLbl>
              <c:idx val="8"/>
              <c:layout>
                <c:manualLayout>
                  <c:x val="-2.9270384971859322E-2"/>
                  <c:y val="-3.6386981190081658E-2"/>
                </c:manualLayout>
              </c:layout>
              <c:dLblPos val="r"/>
              <c:showLegendKey val="0"/>
              <c:showVal val="1"/>
              <c:showCatName val="0"/>
              <c:showSerName val="0"/>
              <c:showPercent val="0"/>
              <c:showBubbleSize val="0"/>
            </c:dLbl>
            <c:dLbl>
              <c:idx val="9"/>
              <c:layout>
                <c:manualLayout>
                  <c:x val="-3.3830845771144279E-2"/>
                  <c:y val="-2.2382094324540368E-2"/>
                </c:manualLayout>
              </c:layout>
              <c:showLegendKey val="0"/>
              <c:showVal val="1"/>
              <c:showCatName val="0"/>
              <c:showSerName val="0"/>
              <c:showPercent val="0"/>
              <c:showBubbleSize val="0"/>
            </c:dLbl>
            <c:spPr>
              <a:noFill/>
              <a:ln w="25400">
                <a:noFill/>
              </a:ln>
            </c:spPr>
            <c:txPr>
              <a:bodyPr/>
              <a:lstStyle/>
              <a:p>
                <a:pPr>
                  <a:defRPr sz="10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Лист3!$A$12:$A$21</c:f>
              <c:strCache>
                <c:ptCount val="10"/>
                <c:pt idx="0">
                  <c:v>01.01.2006*</c:v>
                </c:pt>
                <c:pt idx="1">
                  <c:v>01.01.2007*</c:v>
                </c:pt>
                <c:pt idx="2">
                  <c:v>01.01.2008*</c:v>
                </c:pt>
                <c:pt idx="3">
                  <c:v>01.01.2009</c:v>
                </c:pt>
                <c:pt idx="4">
                  <c:v>01.01.2010</c:v>
                </c:pt>
                <c:pt idx="5">
                  <c:v>01.01.2011</c:v>
                </c:pt>
                <c:pt idx="6">
                  <c:v>01.01.2012</c:v>
                </c:pt>
                <c:pt idx="7">
                  <c:v>01.01.2013</c:v>
                </c:pt>
                <c:pt idx="8">
                  <c:v>01.01.2014**</c:v>
                </c:pt>
                <c:pt idx="9">
                  <c:v>01.01.2015**</c:v>
                </c:pt>
              </c:strCache>
            </c:strRef>
          </c:cat>
          <c:val>
            <c:numRef>
              <c:f>Лист3!$C$12:$C$21</c:f>
              <c:numCache>
                <c:formatCode>0.0%</c:formatCode>
                <c:ptCount val="10"/>
                <c:pt idx="1">
                  <c:v>0.90000000000000013</c:v>
                </c:pt>
                <c:pt idx="2">
                  <c:v>0.82999999999999985</c:v>
                </c:pt>
                <c:pt idx="3">
                  <c:v>0.46000000000000019</c:v>
                </c:pt>
                <c:pt idx="4">
                  <c:v>3.6577708497909978E-2</c:v>
                </c:pt>
                <c:pt idx="5">
                  <c:v>0.21855925268120191</c:v>
                </c:pt>
                <c:pt idx="6">
                  <c:v>0.19099566369728693</c:v>
                </c:pt>
                <c:pt idx="7">
                  <c:v>0.16933645589383306</c:v>
                </c:pt>
                <c:pt idx="8">
                  <c:v>0.16</c:v>
                </c:pt>
                <c:pt idx="9">
                  <c:v>0.18</c:v>
                </c:pt>
              </c:numCache>
            </c:numRef>
          </c:val>
          <c:smooth val="0"/>
        </c:ser>
        <c:dLbls>
          <c:showLegendKey val="0"/>
          <c:showVal val="0"/>
          <c:showCatName val="0"/>
          <c:showSerName val="0"/>
          <c:showPercent val="0"/>
          <c:showBubbleSize val="0"/>
        </c:dLbls>
        <c:marker val="1"/>
        <c:smooth val="0"/>
        <c:axId val="211310848"/>
        <c:axId val="211316736"/>
      </c:lineChart>
      <c:catAx>
        <c:axId val="211298944"/>
        <c:scaling>
          <c:orientation val="minMax"/>
        </c:scaling>
        <c:delete val="0"/>
        <c:axPos val="b"/>
        <c:numFmt formatCode="dd/mm/yyyy"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ru-RU"/>
          </a:p>
        </c:txPr>
        <c:crossAx val="211308928"/>
        <c:crosses val="autoZero"/>
        <c:auto val="0"/>
        <c:lblAlgn val="ctr"/>
        <c:lblOffset val="100"/>
        <c:tickLblSkip val="1"/>
        <c:tickMarkSkip val="1"/>
        <c:noMultiLvlLbl val="0"/>
      </c:catAx>
      <c:valAx>
        <c:axId val="211308928"/>
        <c:scaling>
          <c:orientation val="minMax"/>
        </c:scaling>
        <c:delete val="0"/>
        <c:axPos val="l"/>
        <c:title>
          <c:tx>
            <c:rich>
              <a:bodyPr/>
              <a:lstStyle/>
              <a:p>
                <a:pPr>
                  <a:defRPr sz="1000" b="0" i="0" u="none" strike="noStrike" baseline="0">
                    <a:solidFill>
                      <a:srgbClr val="000000"/>
                    </a:solidFill>
                    <a:latin typeface="Arial"/>
                    <a:ea typeface="Arial"/>
                    <a:cs typeface="Arial"/>
                  </a:defRPr>
                </a:pPr>
                <a:r>
                  <a:rPr lang="ru-RU"/>
                  <a:t>млрд. руб.</a:t>
                </a:r>
              </a:p>
            </c:rich>
          </c:tx>
          <c:layout>
            <c:manualLayout>
              <c:xMode val="edge"/>
              <c:yMode val="edge"/>
              <c:x val="2.0895522388059702E-2"/>
              <c:y val="0.27578013180007177"/>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211298944"/>
        <c:crosses val="autoZero"/>
        <c:crossBetween val="between"/>
      </c:valAx>
      <c:catAx>
        <c:axId val="211310848"/>
        <c:scaling>
          <c:orientation val="minMax"/>
        </c:scaling>
        <c:delete val="1"/>
        <c:axPos val="b"/>
        <c:majorTickMark val="out"/>
        <c:minorTickMark val="none"/>
        <c:tickLblPos val="nextTo"/>
        <c:crossAx val="211316736"/>
        <c:crosses val="autoZero"/>
        <c:auto val="0"/>
        <c:lblAlgn val="ctr"/>
        <c:lblOffset val="100"/>
        <c:noMultiLvlLbl val="0"/>
      </c:catAx>
      <c:valAx>
        <c:axId val="211316736"/>
        <c:scaling>
          <c:orientation val="minMax"/>
        </c:scaling>
        <c:delete val="0"/>
        <c:axPos val="r"/>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211310848"/>
        <c:crosses val="max"/>
        <c:crossBetween val="between"/>
      </c:valAx>
      <c:spPr>
        <a:solidFill>
          <a:srgbClr val="FFFFFF"/>
        </a:solidFill>
        <a:ln w="12700">
          <a:solidFill>
            <a:srgbClr val="808080"/>
          </a:solidFill>
          <a:prstDash val="solid"/>
        </a:ln>
      </c:spPr>
    </c:plotArea>
    <c:legend>
      <c:legendPos val="b"/>
      <c:layout>
        <c:manualLayout>
          <c:xMode val="edge"/>
          <c:yMode val="edge"/>
          <c:x val="0.20597030595056215"/>
          <c:y val="0.88729218200242943"/>
          <c:w val="0.63731390292631329"/>
          <c:h val="0.1055158392970663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63D739-03AF-446D-96FF-F75842A6426E}" type="doc">
      <dgm:prSet loTypeId="urn:microsoft.com/office/officeart/2005/8/layout/arrow2" loCatId="process" qsTypeId="urn:microsoft.com/office/officeart/2005/8/quickstyle/simple1" qsCatId="simple" csTypeId="urn:microsoft.com/office/officeart/2005/8/colors/accent1_2" csCatId="accent1" phldr="1"/>
      <dgm:spPr/>
    </dgm:pt>
    <dgm:pt modelId="{3D6E90A4-4CD3-4857-8601-4728DF8D6270}">
      <dgm:prSet phldrT="[Текст]"/>
      <dgm:spPr/>
      <dgm:t>
        <a:bodyPr/>
        <a:lstStyle/>
        <a:p>
          <a:r>
            <a:rPr lang="ru-RU"/>
            <a:t>РКО</a:t>
          </a:r>
        </a:p>
      </dgm:t>
    </dgm:pt>
    <dgm:pt modelId="{7545DFFE-053B-491B-BFE4-5EA4BF020106}" type="parTrans" cxnId="{906C7223-DB75-4CE3-BD91-168F3BB027E2}">
      <dgm:prSet/>
      <dgm:spPr/>
    </dgm:pt>
    <dgm:pt modelId="{E92174A8-5DCD-4444-BFDD-F8DE153A0FD3}" type="sibTrans" cxnId="{906C7223-DB75-4CE3-BD91-168F3BB027E2}">
      <dgm:prSet/>
      <dgm:spPr/>
    </dgm:pt>
    <dgm:pt modelId="{AEB4FEE6-6FC5-4184-8EE1-34133ACAD528}">
      <dgm:prSet phldrT="[Текст]"/>
      <dgm:spPr/>
      <dgm:t>
        <a:bodyPr/>
        <a:lstStyle/>
        <a:p>
          <a:r>
            <a:rPr lang="ru-RU"/>
            <a:t>Кредитование, ВЭД</a:t>
          </a:r>
        </a:p>
      </dgm:t>
    </dgm:pt>
    <dgm:pt modelId="{B6C11309-6F93-4712-97C8-2FC4872B9359}" type="parTrans" cxnId="{384C419D-94E3-47B7-BAFC-C6398CD0B420}">
      <dgm:prSet/>
      <dgm:spPr/>
    </dgm:pt>
    <dgm:pt modelId="{3F76DBB3-3191-440F-A4E5-313A41729FAB}" type="sibTrans" cxnId="{384C419D-94E3-47B7-BAFC-C6398CD0B420}">
      <dgm:prSet/>
      <dgm:spPr/>
    </dgm:pt>
    <dgm:pt modelId="{964C190C-F27F-4DEA-8DD3-094EE7239A32}">
      <dgm:prSet phldrT="[Текст]"/>
      <dgm:spPr/>
      <dgm:t>
        <a:bodyPr/>
        <a:lstStyle/>
        <a:p>
          <a:r>
            <a:rPr lang="ru-RU"/>
            <a:t>Бизнес-консалтинг</a:t>
          </a:r>
        </a:p>
      </dgm:t>
    </dgm:pt>
    <dgm:pt modelId="{5555A47F-5476-4230-BEE9-853621AAD8C7}" type="parTrans" cxnId="{ADF35F9E-F929-44FD-AAC8-151C9B6F9307}">
      <dgm:prSet/>
      <dgm:spPr/>
    </dgm:pt>
    <dgm:pt modelId="{A5162A70-7E4A-4BCC-A1BB-6D93C8A5D0E9}" type="sibTrans" cxnId="{ADF35F9E-F929-44FD-AAC8-151C9B6F9307}">
      <dgm:prSet/>
      <dgm:spPr/>
    </dgm:pt>
    <dgm:pt modelId="{3E0EF522-6293-488D-BEC4-2989FB3BD3A3}">
      <dgm:prSet phldrT="[Текст]"/>
      <dgm:spPr/>
      <dgm:t>
        <a:bodyPr/>
        <a:lstStyle/>
        <a:p>
          <a:r>
            <a:rPr lang="ru-RU"/>
            <a:t>Обслуживание кластеров</a:t>
          </a:r>
        </a:p>
      </dgm:t>
    </dgm:pt>
    <dgm:pt modelId="{AAA5184E-3C59-423A-B161-B4A65E2AB927}" type="parTrans" cxnId="{67617993-D221-4978-B992-6BD4A07071B0}">
      <dgm:prSet/>
      <dgm:spPr/>
    </dgm:pt>
    <dgm:pt modelId="{49F40904-33CE-496C-9E8C-BBFCE159B7C6}" type="sibTrans" cxnId="{67617993-D221-4978-B992-6BD4A07071B0}">
      <dgm:prSet/>
      <dgm:spPr/>
    </dgm:pt>
    <dgm:pt modelId="{030A85A6-AEC1-4CF4-8F01-BDAEC817BB78}" type="pres">
      <dgm:prSet presAssocID="{0363D739-03AF-446D-96FF-F75842A6426E}" presName="arrowDiagram" presStyleCnt="0">
        <dgm:presLayoutVars>
          <dgm:chMax val="5"/>
          <dgm:dir/>
          <dgm:resizeHandles val="exact"/>
        </dgm:presLayoutVars>
      </dgm:prSet>
      <dgm:spPr/>
    </dgm:pt>
    <dgm:pt modelId="{2CC7EF44-7A72-4571-9E6F-9F9B1163C998}" type="pres">
      <dgm:prSet presAssocID="{0363D739-03AF-446D-96FF-F75842A6426E}" presName="arrow" presStyleLbl="bgShp" presStyleIdx="0" presStyleCnt="1"/>
      <dgm:spPr/>
    </dgm:pt>
    <dgm:pt modelId="{A54E16D3-AEE5-4A95-9A4C-E4E99E572CC0}" type="pres">
      <dgm:prSet presAssocID="{0363D739-03AF-446D-96FF-F75842A6426E}" presName="arrowDiagram4" presStyleCnt="0"/>
      <dgm:spPr/>
    </dgm:pt>
    <dgm:pt modelId="{888B4E3E-015C-49C3-ABD9-0805DA313E2E}" type="pres">
      <dgm:prSet presAssocID="{3D6E90A4-4CD3-4857-8601-4728DF8D6270}" presName="bullet4a" presStyleLbl="node1" presStyleIdx="0" presStyleCnt="4"/>
      <dgm:spPr/>
    </dgm:pt>
    <dgm:pt modelId="{BC7233D8-F0F6-4326-96BF-137E08185C6D}" type="pres">
      <dgm:prSet presAssocID="{3D6E90A4-4CD3-4857-8601-4728DF8D6270}" presName="textBox4a" presStyleLbl="revTx" presStyleIdx="0" presStyleCnt="4">
        <dgm:presLayoutVars>
          <dgm:bulletEnabled val="1"/>
        </dgm:presLayoutVars>
      </dgm:prSet>
      <dgm:spPr/>
      <dgm:t>
        <a:bodyPr/>
        <a:lstStyle/>
        <a:p>
          <a:endParaRPr lang="ru-RU"/>
        </a:p>
      </dgm:t>
    </dgm:pt>
    <dgm:pt modelId="{BF623E62-F265-4E1A-A488-824D59F3D6D2}" type="pres">
      <dgm:prSet presAssocID="{AEB4FEE6-6FC5-4184-8EE1-34133ACAD528}" presName="bullet4b" presStyleLbl="node1" presStyleIdx="1" presStyleCnt="4"/>
      <dgm:spPr/>
    </dgm:pt>
    <dgm:pt modelId="{D9FB63E0-EF5E-404B-9E92-F46BC983C902}" type="pres">
      <dgm:prSet presAssocID="{AEB4FEE6-6FC5-4184-8EE1-34133ACAD528}" presName="textBox4b" presStyleLbl="revTx" presStyleIdx="1" presStyleCnt="4">
        <dgm:presLayoutVars>
          <dgm:bulletEnabled val="1"/>
        </dgm:presLayoutVars>
      </dgm:prSet>
      <dgm:spPr/>
      <dgm:t>
        <a:bodyPr/>
        <a:lstStyle/>
        <a:p>
          <a:endParaRPr lang="ru-RU"/>
        </a:p>
      </dgm:t>
    </dgm:pt>
    <dgm:pt modelId="{C574897C-EBE0-4763-AD14-471DF203135F}" type="pres">
      <dgm:prSet presAssocID="{964C190C-F27F-4DEA-8DD3-094EE7239A32}" presName="bullet4c" presStyleLbl="node1" presStyleIdx="2" presStyleCnt="4"/>
      <dgm:spPr/>
    </dgm:pt>
    <dgm:pt modelId="{14BAD64B-ED26-4463-8D94-CC32E18B4ABC}" type="pres">
      <dgm:prSet presAssocID="{964C190C-F27F-4DEA-8DD3-094EE7239A32}" presName="textBox4c" presStyleLbl="revTx" presStyleIdx="2" presStyleCnt="4">
        <dgm:presLayoutVars>
          <dgm:bulletEnabled val="1"/>
        </dgm:presLayoutVars>
      </dgm:prSet>
      <dgm:spPr/>
      <dgm:t>
        <a:bodyPr/>
        <a:lstStyle/>
        <a:p>
          <a:endParaRPr lang="ru-RU"/>
        </a:p>
      </dgm:t>
    </dgm:pt>
    <dgm:pt modelId="{589F43ED-FB85-4B17-861B-39508783CEC3}" type="pres">
      <dgm:prSet presAssocID="{3E0EF522-6293-488D-BEC4-2989FB3BD3A3}" presName="bullet4d" presStyleLbl="node1" presStyleIdx="3" presStyleCnt="4"/>
      <dgm:spPr/>
    </dgm:pt>
    <dgm:pt modelId="{4A303936-759C-43CF-9EDC-E77A5E7EF091}" type="pres">
      <dgm:prSet presAssocID="{3E0EF522-6293-488D-BEC4-2989FB3BD3A3}" presName="textBox4d" presStyleLbl="revTx" presStyleIdx="3" presStyleCnt="4">
        <dgm:presLayoutVars>
          <dgm:bulletEnabled val="1"/>
        </dgm:presLayoutVars>
      </dgm:prSet>
      <dgm:spPr/>
      <dgm:t>
        <a:bodyPr/>
        <a:lstStyle/>
        <a:p>
          <a:endParaRPr lang="ru-RU"/>
        </a:p>
      </dgm:t>
    </dgm:pt>
  </dgm:ptLst>
  <dgm:cxnLst>
    <dgm:cxn modelId="{384C419D-94E3-47B7-BAFC-C6398CD0B420}" srcId="{0363D739-03AF-446D-96FF-F75842A6426E}" destId="{AEB4FEE6-6FC5-4184-8EE1-34133ACAD528}" srcOrd="1" destOrd="0" parTransId="{B6C11309-6F93-4712-97C8-2FC4872B9359}" sibTransId="{3F76DBB3-3191-440F-A4E5-313A41729FAB}"/>
    <dgm:cxn modelId="{CAF24497-EF5D-473C-9EBE-DC6A5A1EE538}" type="presOf" srcId="{3D6E90A4-4CD3-4857-8601-4728DF8D6270}" destId="{BC7233D8-F0F6-4326-96BF-137E08185C6D}" srcOrd="0" destOrd="0" presId="urn:microsoft.com/office/officeart/2005/8/layout/arrow2"/>
    <dgm:cxn modelId="{3EFA8A2C-E993-40EE-971C-893C698991AC}" type="presOf" srcId="{0363D739-03AF-446D-96FF-F75842A6426E}" destId="{030A85A6-AEC1-4CF4-8F01-BDAEC817BB78}" srcOrd="0" destOrd="0" presId="urn:microsoft.com/office/officeart/2005/8/layout/arrow2"/>
    <dgm:cxn modelId="{1CAD8379-FE78-4608-B0C1-3DD6C08083CC}" type="presOf" srcId="{3E0EF522-6293-488D-BEC4-2989FB3BD3A3}" destId="{4A303936-759C-43CF-9EDC-E77A5E7EF091}" srcOrd="0" destOrd="0" presId="urn:microsoft.com/office/officeart/2005/8/layout/arrow2"/>
    <dgm:cxn modelId="{67617993-D221-4978-B992-6BD4A07071B0}" srcId="{0363D739-03AF-446D-96FF-F75842A6426E}" destId="{3E0EF522-6293-488D-BEC4-2989FB3BD3A3}" srcOrd="3" destOrd="0" parTransId="{AAA5184E-3C59-423A-B161-B4A65E2AB927}" sibTransId="{49F40904-33CE-496C-9E8C-BBFCE159B7C6}"/>
    <dgm:cxn modelId="{ADF35F9E-F929-44FD-AAC8-151C9B6F9307}" srcId="{0363D739-03AF-446D-96FF-F75842A6426E}" destId="{964C190C-F27F-4DEA-8DD3-094EE7239A32}" srcOrd="2" destOrd="0" parTransId="{5555A47F-5476-4230-BEE9-853621AAD8C7}" sibTransId="{A5162A70-7E4A-4BCC-A1BB-6D93C8A5D0E9}"/>
    <dgm:cxn modelId="{906C7223-DB75-4CE3-BD91-168F3BB027E2}" srcId="{0363D739-03AF-446D-96FF-F75842A6426E}" destId="{3D6E90A4-4CD3-4857-8601-4728DF8D6270}" srcOrd="0" destOrd="0" parTransId="{7545DFFE-053B-491B-BFE4-5EA4BF020106}" sibTransId="{E92174A8-5DCD-4444-BFDD-F8DE153A0FD3}"/>
    <dgm:cxn modelId="{7BA66B8B-FC34-4743-8821-16F387D76AD4}" type="presOf" srcId="{964C190C-F27F-4DEA-8DD3-094EE7239A32}" destId="{14BAD64B-ED26-4463-8D94-CC32E18B4ABC}" srcOrd="0" destOrd="0" presId="urn:microsoft.com/office/officeart/2005/8/layout/arrow2"/>
    <dgm:cxn modelId="{0EF464C2-688B-4C39-ABB2-349AACB9EB5B}" type="presOf" srcId="{AEB4FEE6-6FC5-4184-8EE1-34133ACAD528}" destId="{D9FB63E0-EF5E-404B-9E92-F46BC983C902}" srcOrd="0" destOrd="0" presId="urn:microsoft.com/office/officeart/2005/8/layout/arrow2"/>
    <dgm:cxn modelId="{CEF7B0AE-6940-4BF9-AE03-12EA45769ECB}" type="presParOf" srcId="{030A85A6-AEC1-4CF4-8F01-BDAEC817BB78}" destId="{2CC7EF44-7A72-4571-9E6F-9F9B1163C998}" srcOrd="0" destOrd="0" presId="urn:microsoft.com/office/officeart/2005/8/layout/arrow2"/>
    <dgm:cxn modelId="{D37F3099-7401-44A8-A1E1-B9996A60FEE3}" type="presParOf" srcId="{030A85A6-AEC1-4CF4-8F01-BDAEC817BB78}" destId="{A54E16D3-AEE5-4A95-9A4C-E4E99E572CC0}" srcOrd="1" destOrd="0" presId="urn:microsoft.com/office/officeart/2005/8/layout/arrow2"/>
    <dgm:cxn modelId="{2F4348A1-E4E6-4900-9F8B-42DDFF75E7DA}" type="presParOf" srcId="{A54E16D3-AEE5-4A95-9A4C-E4E99E572CC0}" destId="{888B4E3E-015C-49C3-ABD9-0805DA313E2E}" srcOrd="0" destOrd="0" presId="urn:microsoft.com/office/officeart/2005/8/layout/arrow2"/>
    <dgm:cxn modelId="{76020754-26BD-4AFD-B576-DEBE0B0F79C1}" type="presParOf" srcId="{A54E16D3-AEE5-4A95-9A4C-E4E99E572CC0}" destId="{BC7233D8-F0F6-4326-96BF-137E08185C6D}" srcOrd="1" destOrd="0" presId="urn:microsoft.com/office/officeart/2005/8/layout/arrow2"/>
    <dgm:cxn modelId="{A68165A8-0686-440A-B3F7-EC8208D3D3E7}" type="presParOf" srcId="{A54E16D3-AEE5-4A95-9A4C-E4E99E572CC0}" destId="{BF623E62-F265-4E1A-A488-824D59F3D6D2}" srcOrd="2" destOrd="0" presId="urn:microsoft.com/office/officeart/2005/8/layout/arrow2"/>
    <dgm:cxn modelId="{E0211B11-4221-43FF-A3F4-EA18C9AB02CA}" type="presParOf" srcId="{A54E16D3-AEE5-4A95-9A4C-E4E99E572CC0}" destId="{D9FB63E0-EF5E-404B-9E92-F46BC983C902}" srcOrd="3" destOrd="0" presId="urn:microsoft.com/office/officeart/2005/8/layout/arrow2"/>
    <dgm:cxn modelId="{80F1DA0B-ABD2-419F-9A23-50476DA4C506}" type="presParOf" srcId="{A54E16D3-AEE5-4A95-9A4C-E4E99E572CC0}" destId="{C574897C-EBE0-4763-AD14-471DF203135F}" srcOrd="4" destOrd="0" presId="urn:microsoft.com/office/officeart/2005/8/layout/arrow2"/>
    <dgm:cxn modelId="{88F40271-3A06-457B-A9BE-37542C654E9E}" type="presParOf" srcId="{A54E16D3-AEE5-4A95-9A4C-E4E99E572CC0}" destId="{14BAD64B-ED26-4463-8D94-CC32E18B4ABC}" srcOrd="5" destOrd="0" presId="urn:microsoft.com/office/officeart/2005/8/layout/arrow2"/>
    <dgm:cxn modelId="{202ED409-C257-4A4F-A67B-0DA2C0A2E87C}" type="presParOf" srcId="{A54E16D3-AEE5-4A95-9A4C-E4E99E572CC0}" destId="{589F43ED-FB85-4B17-861B-39508783CEC3}" srcOrd="6" destOrd="0" presId="urn:microsoft.com/office/officeart/2005/8/layout/arrow2"/>
    <dgm:cxn modelId="{312B70B7-8061-4BD6-B624-8950DA41C43F}" type="presParOf" srcId="{A54E16D3-AEE5-4A95-9A4C-E4E99E572CC0}" destId="{4A303936-759C-43CF-9EDC-E77A5E7EF091}" srcOrd="7" destOrd="0" presId="urn:microsoft.com/office/officeart/2005/8/layout/arrow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C7EF44-7A72-4571-9E6F-9F9B1163C998}">
      <dsp:nvSpPr>
        <dsp:cNvPr id="0" name=""/>
        <dsp:cNvSpPr/>
      </dsp:nvSpPr>
      <dsp:spPr>
        <a:xfrm>
          <a:off x="182879" y="0"/>
          <a:ext cx="5120640" cy="32004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88B4E3E-015C-49C3-ABD9-0805DA313E2E}">
      <dsp:nvSpPr>
        <dsp:cNvPr id="0" name=""/>
        <dsp:cNvSpPr/>
      </dsp:nvSpPr>
      <dsp:spPr>
        <a:xfrm>
          <a:off x="687263" y="2379817"/>
          <a:ext cx="117774" cy="11777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7233D8-F0F6-4326-96BF-137E08185C6D}">
      <dsp:nvSpPr>
        <dsp:cNvPr id="0" name=""/>
        <dsp:cNvSpPr/>
      </dsp:nvSpPr>
      <dsp:spPr>
        <a:xfrm>
          <a:off x="746150" y="2438704"/>
          <a:ext cx="875629" cy="7616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2406" tIns="0" rIns="0" bIns="0" numCol="1" spcCol="1270" anchor="t" anchorCtr="0">
          <a:noAutofit/>
        </a:bodyPr>
        <a:lstStyle/>
        <a:p>
          <a:pPr lvl="0" algn="l" defTabSz="444500">
            <a:lnSpc>
              <a:spcPct val="90000"/>
            </a:lnSpc>
            <a:spcBef>
              <a:spcPct val="0"/>
            </a:spcBef>
            <a:spcAft>
              <a:spcPct val="35000"/>
            </a:spcAft>
          </a:pPr>
          <a:r>
            <a:rPr lang="ru-RU" sz="1000" kern="1200"/>
            <a:t>РКО</a:t>
          </a:r>
        </a:p>
      </dsp:txBody>
      <dsp:txXfrm>
        <a:off x="746150" y="2438704"/>
        <a:ext cx="875629" cy="761695"/>
      </dsp:txXfrm>
    </dsp:sp>
    <dsp:sp modelId="{BF623E62-F265-4E1A-A488-824D59F3D6D2}">
      <dsp:nvSpPr>
        <dsp:cNvPr id="0" name=""/>
        <dsp:cNvSpPr/>
      </dsp:nvSpPr>
      <dsp:spPr>
        <a:xfrm>
          <a:off x="1519367" y="1635404"/>
          <a:ext cx="204825" cy="2048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FB63E0-EF5E-404B-9E92-F46BC983C902}">
      <dsp:nvSpPr>
        <dsp:cNvPr id="0" name=""/>
        <dsp:cNvSpPr/>
      </dsp:nvSpPr>
      <dsp:spPr>
        <a:xfrm>
          <a:off x="1621779" y="1737817"/>
          <a:ext cx="1075334" cy="14625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8533" tIns="0" rIns="0" bIns="0" numCol="1" spcCol="1270" anchor="t" anchorCtr="0">
          <a:noAutofit/>
        </a:bodyPr>
        <a:lstStyle/>
        <a:p>
          <a:pPr lvl="0" algn="l" defTabSz="444500">
            <a:lnSpc>
              <a:spcPct val="90000"/>
            </a:lnSpc>
            <a:spcBef>
              <a:spcPct val="0"/>
            </a:spcBef>
            <a:spcAft>
              <a:spcPct val="35000"/>
            </a:spcAft>
          </a:pPr>
          <a:r>
            <a:rPr lang="ru-RU" sz="1000" kern="1200"/>
            <a:t>Кредитование, ВЭД</a:t>
          </a:r>
        </a:p>
      </dsp:txBody>
      <dsp:txXfrm>
        <a:off x="1621779" y="1737817"/>
        <a:ext cx="1075334" cy="1462582"/>
      </dsp:txXfrm>
    </dsp:sp>
    <dsp:sp modelId="{C574897C-EBE0-4763-AD14-471DF203135F}">
      <dsp:nvSpPr>
        <dsp:cNvPr id="0" name=""/>
        <dsp:cNvSpPr/>
      </dsp:nvSpPr>
      <dsp:spPr>
        <a:xfrm>
          <a:off x="2581899" y="1086855"/>
          <a:ext cx="271393" cy="2713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BAD64B-ED26-4463-8D94-CC32E18B4ABC}">
      <dsp:nvSpPr>
        <dsp:cNvPr id="0" name=""/>
        <dsp:cNvSpPr/>
      </dsp:nvSpPr>
      <dsp:spPr>
        <a:xfrm>
          <a:off x="2717596" y="1222552"/>
          <a:ext cx="1075334" cy="19778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3806" tIns="0" rIns="0" bIns="0" numCol="1" spcCol="1270" anchor="t" anchorCtr="0">
          <a:noAutofit/>
        </a:bodyPr>
        <a:lstStyle/>
        <a:p>
          <a:pPr lvl="0" algn="l" defTabSz="444500">
            <a:lnSpc>
              <a:spcPct val="90000"/>
            </a:lnSpc>
            <a:spcBef>
              <a:spcPct val="0"/>
            </a:spcBef>
            <a:spcAft>
              <a:spcPct val="35000"/>
            </a:spcAft>
          </a:pPr>
          <a:r>
            <a:rPr lang="ru-RU" sz="1000" kern="1200"/>
            <a:t>Бизнес-консалтинг</a:t>
          </a:r>
        </a:p>
      </dsp:txBody>
      <dsp:txXfrm>
        <a:off x="2717596" y="1222552"/>
        <a:ext cx="1075334" cy="1977847"/>
      </dsp:txXfrm>
    </dsp:sp>
    <dsp:sp modelId="{589F43ED-FB85-4B17-861B-39508783CEC3}">
      <dsp:nvSpPr>
        <dsp:cNvPr id="0" name=""/>
        <dsp:cNvSpPr/>
      </dsp:nvSpPr>
      <dsp:spPr>
        <a:xfrm>
          <a:off x="3739164" y="723930"/>
          <a:ext cx="363565" cy="36356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303936-759C-43CF-9EDC-E77A5E7EF091}">
      <dsp:nvSpPr>
        <dsp:cNvPr id="0" name=""/>
        <dsp:cNvSpPr/>
      </dsp:nvSpPr>
      <dsp:spPr>
        <a:xfrm>
          <a:off x="3920947" y="905713"/>
          <a:ext cx="1075334" cy="22946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646" tIns="0" rIns="0" bIns="0" numCol="1" spcCol="1270" anchor="t" anchorCtr="0">
          <a:noAutofit/>
        </a:bodyPr>
        <a:lstStyle/>
        <a:p>
          <a:pPr lvl="0" algn="l" defTabSz="444500">
            <a:lnSpc>
              <a:spcPct val="90000"/>
            </a:lnSpc>
            <a:spcBef>
              <a:spcPct val="0"/>
            </a:spcBef>
            <a:spcAft>
              <a:spcPct val="35000"/>
            </a:spcAft>
          </a:pPr>
          <a:r>
            <a:rPr lang="ru-RU" sz="1000" kern="1200"/>
            <a:t>Обслуживание кластеров</a:t>
          </a:r>
        </a:p>
      </dsp:txBody>
      <dsp:txXfrm>
        <a:off x="3920947" y="905713"/>
        <a:ext cx="1075334" cy="2294686"/>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0235-2684-4154-BBD6-FED7CA7F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14673</Words>
  <Characters>83640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Васекина Наталья</cp:lastModifiedBy>
  <cp:revision>2</cp:revision>
  <cp:lastPrinted>2013-03-22T16:45:00Z</cp:lastPrinted>
  <dcterms:created xsi:type="dcterms:W3CDTF">2013-04-30T11:41:00Z</dcterms:created>
  <dcterms:modified xsi:type="dcterms:W3CDTF">2013-04-30T11:41:00Z</dcterms:modified>
</cp:coreProperties>
</file>